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9B032" w14:textId="77777777" w:rsidR="00996602" w:rsidRDefault="00996602" w:rsidP="00996602">
      <w:pPr>
        <w:keepNext/>
      </w:pPr>
      <w:r>
        <w:rPr>
          <w:rFonts w:ascii="Helvetica" w:eastAsia="Calibri" w:hAnsi="Helvetica" w:cs="Helvetica"/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48E24AF6" wp14:editId="2C62A5A5">
            <wp:simplePos x="0" y="0"/>
            <wp:positionH relativeFrom="column">
              <wp:posOffset>3886200</wp:posOffset>
            </wp:positionH>
            <wp:positionV relativeFrom="paragraph">
              <wp:posOffset>-127000</wp:posOffset>
            </wp:positionV>
            <wp:extent cx="2133600" cy="14986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6602">
        <w:rPr>
          <w:noProof/>
          <w:lang w:eastAsia="en-US"/>
        </w:rPr>
        <w:drawing>
          <wp:inline distT="0" distB="0" distL="0" distR="0" wp14:anchorId="5F798275" wp14:editId="538EA256">
            <wp:extent cx="1235176" cy="1485152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176" cy="148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inline>
        </w:drawing>
      </w:r>
    </w:p>
    <w:p w14:paraId="18B91B6C" w14:textId="77777777" w:rsidR="00AF61EB" w:rsidRDefault="00AF61EB" w:rsidP="00996602">
      <w:pPr>
        <w:keepNext/>
      </w:pPr>
    </w:p>
    <w:p w14:paraId="105DCCFD" w14:textId="77777777" w:rsidR="00996602" w:rsidRDefault="00996602" w:rsidP="00996602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Management of Late-Stage </w:t>
      </w:r>
      <w:proofErr w:type="spellStart"/>
      <w:r>
        <w:rPr>
          <w:rFonts w:eastAsia="MS PGothic"/>
          <w:b/>
          <w:color w:val="000000"/>
          <w:sz w:val="28"/>
          <w:szCs w:val="28"/>
        </w:rPr>
        <w:t>Neovascular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Glaucoma</w:t>
      </w:r>
    </w:p>
    <w:p w14:paraId="798DB5B6" w14:textId="77777777" w:rsidR="00996602" w:rsidRDefault="00996602" w:rsidP="00996602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</w:t>
      </w:r>
      <w:r>
        <w:rPr>
          <w:rFonts w:eastAsia="MS PGothic" w:hAnsi="Arial"/>
          <w:color w:val="000000"/>
        </w:rPr>
        <w:t xml:space="preserve">Melissa Marselina, </w:t>
      </w:r>
      <w:proofErr w:type="spellStart"/>
      <w:r>
        <w:rPr>
          <w:rFonts w:eastAsia="MS PGothic" w:hAnsi="Arial"/>
          <w:color w:val="000000"/>
        </w:rPr>
        <w:t>Andika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Prahasta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Gandasubrata</w:t>
      </w:r>
      <w:proofErr w:type="spellEnd"/>
    </w:p>
    <w:p w14:paraId="4C8102F9" w14:textId="77777777" w:rsidR="00996602" w:rsidRDefault="00996602" w:rsidP="00996602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Cicendo</w:t>
      </w:r>
      <w:proofErr w:type="spellEnd"/>
      <w:r>
        <w:rPr>
          <w:rFonts w:eastAsia="MS PGothic" w:hAnsi="Arial"/>
          <w:color w:val="000000"/>
        </w:rPr>
        <w:t xml:space="preserve"> National Eye Hospital/Faculty of Medicine </w:t>
      </w:r>
      <w:proofErr w:type="spellStart"/>
      <w:r>
        <w:rPr>
          <w:rFonts w:eastAsia="MS PGothic" w:hAnsi="Arial"/>
          <w:color w:val="000000"/>
        </w:rPr>
        <w:t>Padjadjaran</w:t>
      </w:r>
      <w:proofErr w:type="spellEnd"/>
      <w:r>
        <w:rPr>
          <w:rFonts w:eastAsia="MS PGothic" w:hAnsi="Arial"/>
          <w:color w:val="000000"/>
        </w:rPr>
        <w:t xml:space="preserve"> University, Bandung, West Java, Indonesia</w:t>
      </w:r>
    </w:p>
    <w:p w14:paraId="0C5BEE0A" w14:textId="77777777" w:rsidR="00996602" w:rsidRDefault="00996602" w:rsidP="00996602">
      <w:pPr>
        <w:jc w:val="center"/>
        <w:rPr>
          <w:color w:val="0000FF"/>
          <w:sz w:val="36"/>
          <w:szCs w:val="36"/>
        </w:rPr>
      </w:pPr>
    </w:p>
    <w:p w14:paraId="3DC7B878" w14:textId="77777777" w:rsidR="00996602" w:rsidRPr="00996602" w:rsidRDefault="00996602" w:rsidP="00996602">
      <w:pPr>
        <w:rPr>
          <w:rFonts w:eastAsia="MS PGothic" w:hAnsi="Arial"/>
          <w:color w:val="000000"/>
        </w:rPr>
      </w:pPr>
      <w:r w:rsidRPr="00124C03">
        <w:rPr>
          <w:rFonts w:cs="Arial"/>
          <w:b/>
        </w:rPr>
        <w:t>Introduction:</w:t>
      </w:r>
      <w:r w:rsidRPr="00124C03">
        <w:rPr>
          <w:rFonts w:cs="Arial"/>
        </w:rPr>
        <w:t xml:space="preserve"> </w:t>
      </w:r>
      <w:proofErr w:type="spellStart"/>
      <w:r w:rsidRPr="00124C03">
        <w:rPr>
          <w:rFonts w:cs="Arial"/>
        </w:rPr>
        <w:t>Neovascular</w:t>
      </w:r>
      <w:proofErr w:type="spellEnd"/>
      <w:r w:rsidRPr="00124C03">
        <w:rPr>
          <w:rFonts w:cs="Arial"/>
        </w:rPr>
        <w:t xml:space="preserve"> glaucoma (NVG) </w:t>
      </w:r>
      <w:r>
        <w:rPr>
          <w:rFonts w:cs="Arial"/>
        </w:rPr>
        <w:t xml:space="preserve">is a </w:t>
      </w:r>
      <w:r w:rsidRPr="00124C03">
        <w:rPr>
          <w:rFonts w:cs="Arial"/>
        </w:rPr>
        <w:t>common, severe type of secondary glauc</w:t>
      </w:r>
      <w:r>
        <w:rPr>
          <w:rFonts w:cs="Arial"/>
        </w:rPr>
        <w:t>oma</w:t>
      </w:r>
      <w:r w:rsidRPr="00124C03">
        <w:rPr>
          <w:rFonts w:cs="Arial"/>
        </w:rPr>
        <w:t xml:space="preserve"> caused by retinal ischemia or ocular inflamm</w:t>
      </w:r>
      <w:bookmarkStart w:id="0" w:name="_GoBack"/>
      <w:bookmarkEnd w:id="0"/>
      <w:r w:rsidRPr="00124C03">
        <w:rPr>
          <w:rFonts w:cs="Arial"/>
        </w:rPr>
        <w:t xml:space="preserve">ation. The treatment of NVG varies depending on the stage of the disease. </w:t>
      </w:r>
      <w:proofErr w:type="spellStart"/>
      <w:r w:rsidRPr="00124C03">
        <w:rPr>
          <w:rFonts w:cs="Arial"/>
        </w:rPr>
        <w:t>Intravitreal</w:t>
      </w:r>
      <w:proofErr w:type="spellEnd"/>
      <w:r w:rsidRPr="00124C03">
        <w:rPr>
          <w:rFonts w:cs="Arial"/>
        </w:rPr>
        <w:t xml:space="preserve"> </w:t>
      </w:r>
      <w:proofErr w:type="spellStart"/>
      <w:r w:rsidRPr="00124C03">
        <w:rPr>
          <w:rFonts w:cs="Arial"/>
        </w:rPr>
        <w:t>bevacizumab</w:t>
      </w:r>
      <w:proofErr w:type="spellEnd"/>
      <w:r w:rsidRPr="00124C03">
        <w:rPr>
          <w:rFonts w:cs="Arial"/>
        </w:rPr>
        <w:t xml:space="preserve"> (IV</w:t>
      </w:r>
      <w:r>
        <w:rPr>
          <w:rFonts w:cs="Arial"/>
        </w:rPr>
        <w:t>B) can be considered in NVG.</w:t>
      </w:r>
    </w:p>
    <w:p w14:paraId="31FCAE55" w14:textId="77777777" w:rsidR="00996602" w:rsidRPr="00124C03" w:rsidRDefault="00996602" w:rsidP="00996602">
      <w:pPr>
        <w:contextualSpacing/>
        <w:jc w:val="both"/>
        <w:rPr>
          <w:rFonts w:cs="Arial"/>
        </w:rPr>
      </w:pPr>
      <w:proofErr w:type="gramStart"/>
      <w:r w:rsidRPr="00124C03">
        <w:rPr>
          <w:rFonts w:cs="Arial"/>
          <w:b/>
        </w:rPr>
        <w:t>Purpose:</w:t>
      </w:r>
      <w:r w:rsidRPr="00124C03">
        <w:rPr>
          <w:rFonts w:cs="Arial"/>
        </w:rPr>
        <w:t xml:space="preserve"> To report one case of l</w:t>
      </w:r>
      <w:r>
        <w:rPr>
          <w:rFonts w:cs="Arial"/>
        </w:rPr>
        <w:t>ate-stage NVG and its</w:t>
      </w:r>
      <w:r w:rsidRPr="00124C03">
        <w:rPr>
          <w:rFonts w:cs="Arial"/>
        </w:rPr>
        <w:t xml:space="preserve"> management.</w:t>
      </w:r>
      <w:proofErr w:type="gramEnd"/>
    </w:p>
    <w:p w14:paraId="45B8CB72" w14:textId="77777777" w:rsidR="00996602" w:rsidRPr="00124C03" w:rsidRDefault="00996602" w:rsidP="00996602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</w:rPr>
      </w:pPr>
      <w:r w:rsidRPr="00124C03">
        <w:rPr>
          <w:rFonts w:cs="Arial"/>
          <w:b/>
        </w:rPr>
        <w:t xml:space="preserve">Case report: </w:t>
      </w:r>
      <w:r w:rsidRPr="00124C03">
        <w:rPr>
          <w:rFonts w:cs="Arial"/>
        </w:rPr>
        <w:t xml:space="preserve">A 31-year-old woman has been consulted from </w:t>
      </w:r>
      <w:proofErr w:type="spellStart"/>
      <w:r w:rsidRPr="00124C03">
        <w:rPr>
          <w:rFonts w:cs="Arial"/>
        </w:rPr>
        <w:t>Vitreoretinal</w:t>
      </w:r>
      <w:proofErr w:type="spellEnd"/>
      <w:r w:rsidRPr="00124C03">
        <w:rPr>
          <w:rFonts w:cs="Arial"/>
        </w:rPr>
        <w:t xml:space="preserve"> Subdiv</w:t>
      </w:r>
      <w:r>
        <w:rPr>
          <w:rFonts w:cs="Arial"/>
        </w:rPr>
        <w:t>ision to</w:t>
      </w:r>
      <w:r w:rsidRPr="00124C03">
        <w:rPr>
          <w:rFonts w:cs="Arial"/>
        </w:rPr>
        <w:t xml:space="preserve"> Glaucoma Subdivision with chief complain of pain in the left eye (LE) since 1 week before admission. The patient had been diagnosed with bilateral proliferative diabetic retinopathy (PDR), attached retina of the right eye (RE), </w:t>
      </w:r>
      <w:proofErr w:type="spellStart"/>
      <w:r w:rsidRPr="00124C03">
        <w:rPr>
          <w:rFonts w:cs="Arial"/>
        </w:rPr>
        <w:t>tractional</w:t>
      </w:r>
      <w:proofErr w:type="spellEnd"/>
      <w:r w:rsidRPr="00124C03">
        <w:rPr>
          <w:rFonts w:cs="Arial"/>
        </w:rPr>
        <w:t xml:space="preserve"> retinal detachment of</w:t>
      </w:r>
      <w:r>
        <w:rPr>
          <w:rFonts w:cs="Arial"/>
        </w:rPr>
        <w:t xml:space="preserve"> the LE, and uncontrolled diabetes mellitus </w:t>
      </w:r>
      <w:r w:rsidRPr="00124C03">
        <w:rPr>
          <w:rFonts w:cs="Arial"/>
        </w:rPr>
        <w:t xml:space="preserve">with history of five retinal surgeries of the RE and series of bilateral </w:t>
      </w:r>
      <w:proofErr w:type="spellStart"/>
      <w:r w:rsidRPr="00124C03">
        <w:rPr>
          <w:rFonts w:cs="Arial"/>
        </w:rPr>
        <w:t>panretinal</w:t>
      </w:r>
      <w:proofErr w:type="spellEnd"/>
      <w:r w:rsidRPr="00124C03">
        <w:rPr>
          <w:rFonts w:cs="Arial"/>
        </w:rPr>
        <w:t xml:space="preserve"> photocoagulation (PRP). During </w:t>
      </w:r>
      <w:proofErr w:type="gramStart"/>
      <w:r w:rsidRPr="00124C03">
        <w:rPr>
          <w:rFonts w:cs="Arial"/>
        </w:rPr>
        <w:t>one year</w:t>
      </w:r>
      <w:proofErr w:type="gramEnd"/>
      <w:r w:rsidRPr="00124C03">
        <w:rPr>
          <w:rFonts w:cs="Arial"/>
        </w:rPr>
        <w:t xml:space="preserve"> follo</w:t>
      </w:r>
      <w:r>
        <w:rPr>
          <w:rFonts w:cs="Arial"/>
        </w:rPr>
        <w:t xml:space="preserve">w-up at </w:t>
      </w:r>
      <w:proofErr w:type="spellStart"/>
      <w:r>
        <w:rPr>
          <w:rFonts w:cs="Arial"/>
        </w:rPr>
        <w:t>Vitreoretinal</w:t>
      </w:r>
      <w:proofErr w:type="spellEnd"/>
      <w:r>
        <w:rPr>
          <w:rFonts w:cs="Arial"/>
        </w:rPr>
        <w:t xml:space="preserve"> C</w:t>
      </w:r>
      <w:r w:rsidRPr="00124C03">
        <w:rPr>
          <w:rFonts w:cs="Arial"/>
        </w:rPr>
        <w:t>linic, there were no abnormalities found in the anterior segment of both eyes but a progressive decrease of vision was found. Upon first ex</w:t>
      </w:r>
      <w:r>
        <w:rPr>
          <w:rFonts w:cs="Arial"/>
        </w:rPr>
        <w:t>amination at Glaucoma C</w:t>
      </w:r>
      <w:r w:rsidRPr="00124C03">
        <w:rPr>
          <w:rFonts w:cs="Arial"/>
        </w:rPr>
        <w:t>linic, the visual acuity was hand movement bilatera</w:t>
      </w:r>
      <w:r>
        <w:rPr>
          <w:rFonts w:cs="Arial"/>
        </w:rPr>
        <w:t>lly with IOP of 18 mmHg (</w:t>
      </w:r>
      <w:r w:rsidRPr="00124C03">
        <w:rPr>
          <w:rFonts w:cs="Arial"/>
        </w:rPr>
        <w:t>RE</w:t>
      </w:r>
      <w:r>
        <w:rPr>
          <w:rFonts w:cs="Arial"/>
        </w:rPr>
        <w:t>) and 30 mmHg (</w:t>
      </w:r>
      <w:r w:rsidRPr="00124C03">
        <w:rPr>
          <w:rFonts w:cs="Arial"/>
        </w:rPr>
        <w:t>LE</w:t>
      </w:r>
      <w:r>
        <w:rPr>
          <w:rFonts w:cs="Arial"/>
        </w:rPr>
        <w:t>)</w:t>
      </w:r>
      <w:r w:rsidRPr="00124C03">
        <w:rPr>
          <w:rFonts w:cs="Arial"/>
        </w:rPr>
        <w:t xml:space="preserve">. </w:t>
      </w:r>
      <w:proofErr w:type="spellStart"/>
      <w:r>
        <w:rPr>
          <w:rFonts w:cs="Arial"/>
        </w:rPr>
        <w:t>Ciliary</w:t>
      </w:r>
      <w:proofErr w:type="spellEnd"/>
      <w:r>
        <w:rPr>
          <w:rFonts w:cs="Arial"/>
        </w:rPr>
        <w:t xml:space="preserve"> injection, </w:t>
      </w:r>
      <w:proofErr w:type="spellStart"/>
      <w:r>
        <w:rPr>
          <w:rFonts w:cs="Arial"/>
        </w:rPr>
        <w:t>mi</w:t>
      </w:r>
      <w:r w:rsidRPr="00124C03">
        <w:rPr>
          <w:rFonts w:cs="Arial"/>
        </w:rPr>
        <w:t>crocystic</w:t>
      </w:r>
      <w:proofErr w:type="spellEnd"/>
      <w:r w:rsidRPr="00124C03">
        <w:rPr>
          <w:rFonts w:cs="Arial"/>
        </w:rPr>
        <w:t xml:space="preserve"> edema, shallow AC, </w:t>
      </w:r>
      <w:proofErr w:type="spellStart"/>
      <w:r w:rsidRPr="00124C03">
        <w:rPr>
          <w:rFonts w:cs="Arial"/>
        </w:rPr>
        <w:t>middilated</w:t>
      </w:r>
      <w:proofErr w:type="spellEnd"/>
      <w:r w:rsidRPr="00124C03">
        <w:rPr>
          <w:rFonts w:cs="Arial"/>
        </w:rPr>
        <w:t xml:space="preserve"> pupil, posterior </w:t>
      </w:r>
      <w:proofErr w:type="spellStart"/>
      <w:r w:rsidRPr="00124C03">
        <w:rPr>
          <w:rFonts w:cs="Arial"/>
        </w:rPr>
        <w:t>synechiae</w:t>
      </w:r>
      <w:proofErr w:type="spellEnd"/>
      <w:r w:rsidRPr="00124C03">
        <w:rPr>
          <w:rFonts w:cs="Arial"/>
        </w:rPr>
        <w:t>,</w:t>
      </w:r>
      <w:r>
        <w:rPr>
          <w:rFonts w:cs="Arial"/>
        </w:rPr>
        <w:t xml:space="preserve"> and</w:t>
      </w:r>
      <w:r w:rsidRPr="00124C03">
        <w:rPr>
          <w:rFonts w:cs="Arial"/>
        </w:rPr>
        <w:t xml:space="preserve"> neovascularization of </w:t>
      </w:r>
      <w:r>
        <w:rPr>
          <w:rFonts w:cs="Arial"/>
        </w:rPr>
        <w:t>the iris (NVI) on the LE were found</w:t>
      </w:r>
      <w:r w:rsidRPr="00124C03">
        <w:rPr>
          <w:rFonts w:cs="Arial"/>
        </w:rPr>
        <w:t>. Patient was</w:t>
      </w:r>
      <w:r>
        <w:rPr>
          <w:rFonts w:cs="Arial"/>
        </w:rPr>
        <w:t xml:space="preserve"> diagnosed with additional late-</w:t>
      </w:r>
      <w:r w:rsidRPr="00124C03">
        <w:rPr>
          <w:rFonts w:cs="Arial"/>
        </w:rPr>
        <w:t xml:space="preserve">stage NVG and was </w:t>
      </w:r>
      <w:proofErr w:type="spellStart"/>
      <w:r>
        <w:rPr>
          <w:rFonts w:cs="Arial"/>
        </w:rPr>
        <w:t>succesfully</w:t>
      </w:r>
      <w:proofErr w:type="spellEnd"/>
      <w:r>
        <w:rPr>
          <w:rFonts w:cs="Arial"/>
        </w:rPr>
        <w:t xml:space="preserve"> </w:t>
      </w:r>
      <w:r w:rsidRPr="00124C03">
        <w:rPr>
          <w:rFonts w:cs="Arial"/>
        </w:rPr>
        <w:t xml:space="preserve">managed by laser trans-scleral </w:t>
      </w:r>
      <w:proofErr w:type="spellStart"/>
      <w:r w:rsidRPr="00124C03">
        <w:rPr>
          <w:rFonts w:cs="Arial"/>
        </w:rPr>
        <w:t>cyclophotocoagulation</w:t>
      </w:r>
      <w:proofErr w:type="spellEnd"/>
      <w:r w:rsidRPr="00124C03">
        <w:rPr>
          <w:rFonts w:cs="Arial"/>
        </w:rPr>
        <w:t xml:space="preserve"> (TSCPC)</w:t>
      </w:r>
      <w:r>
        <w:rPr>
          <w:rFonts w:cs="Arial"/>
        </w:rPr>
        <w:t xml:space="preserve"> over IVB</w:t>
      </w:r>
      <w:r w:rsidRPr="00124C03">
        <w:rPr>
          <w:rFonts w:cs="Arial"/>
        </w:rPr>
        <w:t>.</w:t>
      </w:r>
    </w:p>
    <w:p w14:paraId="5D61A2B6" w14:textId="77777777" w:rsidR="00DC433A" w:rsidRPr="00996602" w:rsidRDefault="00996602" w:rsidP="00996602">
      <w:pPr>
        <w:contextualSpacing/>
        <w:jc w:val="both"/>
        <w:rPr>
          <w:rFonts w:cs="Arial"/>
        </w:rPr>
      </w:pPr>
      <w:r w:rsidRPr="00124C03">
        <w:rPr>
          <w:rFonts w:cs="Arial"/>
          <w:b/>
        </w:rPr>
        <w:t>Conclusion: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Intravitreal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bevacizumab</w:t>
      </w:r>
      <w:proofErr w:type="spellEnd"/>
      <w:r>
        <w:rPr>
          <w:rFonts w:cs="Arial"/>
        </w:rPr>
        <w:t xml:space="preserve"> is effectively stabilized </w:t>
      </w:r>
      <w:r w:rsidRPr="00124C03">
        <w:rPr>
          <w:rFonts w:cs="Arial"/>
        </w:rPr>
        <w:t>NV</w:t>
      </w:r>
      <w:r>
        <w:rPr>
          <w:rFonts w:cs="Arial"/>
        </w:rPr>
        <w:t>I</w:t>
      </w:r>
      <w:r w:rsidRPr="00124C03">
        <w:rPr>
          <w:rFonts w:cs="Arial"/>
        </w:rPr>
        <w:t xml:space="preserve"> activity and c</w:t>
      </w:r>
      <w:r>
        <w:rPr>
          <w:rFonts w:cs="Arial"/>
        </w:rPr>
        <w:t xml:space="preserve">ontrolled IOP in patients with </w:t>
      </w:r>
      <w:r w:rsidRPr="00124C03">
        <w:rPr>
          <w:rFonts w:cs="Arial"/>
        </w:rPr>
        <w:t>NV</w:t>
      </w:r>
      <w:r>
        <w:rPr>
          <w:rFonts w:cs="Arial"/>
        </w:rPr>
        <w:t>I</w:t>
      </w:r>
      <w:r w:rsidRPr="00124C03">
        <w:rPr>
          <w:rFonts w:cs="Arial"/>
        </w:rPr>
        <w:t xml:space="preserve"> alone and early-stage NVG without angle closure but cannot control IOP in advanced NVG. Laser TSCPC is effective in lowering IOP in NVG.</w:t>
      </w:r>
    </w:p>
    <w:p w14:paraId="05AC1935" w14:textId="77777777" w:rsidR="00B8710A" w:rsidRDefault="00B8710A" w:rsidP="00363668">
      <w:pPr>
        <w:jc w:val="both"/>
        <w:rPr>
          <w:color w:val="000000"/>
        </w:rPr>
      </w:pPr>
    </w:p>
    <w:p w14:paraId="364FA7BF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28E32BA5" w14:textId="77777777" w:rsidR="00CE6677" w:rsidRDefault="00CE6677" w:rsidP="00363668">
      <w:pPr>
        <w:jc w:val="both"/>
        <w:rPr>
          <w:b/>
        </w:rPr>
      </w:pPr>
    </w:p>
    <w:p w14:paraId="2E0E29F1" w14:textId="77777777" w:rsidR="00996602" w:rsidRDefault="00996602" w:rsidP="00996602">
      <w:pPr>
        <w:jc w:val="both"/>
      </w:pPr>
      <w:r>
        <w:t xml:space="preserve">Melissa has completed her medical doctor degree at the age </w:t>
      </w:r>
      <w:proofErr w:type="gramStart"/>
      <w:r>
        <w:t>of  23</w:t>
      </w:r>
      <w:proofErr w:type="gramEnd"/>
      <w:r>
        <w:t xml:space="preserve"> years from </w:t>
      </w:r>
      <w:proofErr w:type="spellStart"/>
      <w:r>
        <w:t>Padjadjaran</w:t>
      </w:r>
      <w:proofErr w:type="spellEnd"/>
      <w:r>
        <w:t xml:space="preserve"> University. She is now in her second year of Ophthalmology Residency at </w:t>
      </w:r>
      <w:proofErr w:type="spellStart"/>
      <w:r>
        <w:t>Cicendo</w:t>
      </w:r>
      <w:proofErr w:type="spellEnd"/>
      <w:r>
        <w:t xml:space="preserve"> National Eye Hospital. She has published her first e-poster internationally at 7th International Conference on Ocular Infections 2015 in Barcelona and was once a study coordinator for research </w:t>
      </w:r>
      <w:proofErr w:type="spellStart"/>
      <w:r>
        <w:t>programme</w:t>
      </w:r>
      <w:proofErr w:type="spellEnd"/>
      <w:r>
        <w:t xml:space="preserve"> at </w:t>
      </w:r>
      <w:proofErr w:type="spellStart"/>
      <w:r>
        <w:t>Vitreoretina</w:t>
      </w:r>
      <w:proofErr w:type="spellEnd"/>
      <w:r>
        <w:t xml:space="preserve"> Subdivision </w:t>
      </w:r>
      <w:proofErr w:type="spellStart"/>
      <w:r>
        <w:t>Cicendo</w:t>
      </w:r>
      <w:proofErr w:type="spellEnd"/>
      <w:r>
        <w:t xml:space="preserve"> National Eye Hospital.</w:t>
      </w:r>
    </w:p>
    <w:p w14:paraId="706BC396" w14:textId="77777777" w:rsidR="00996602" w:rsidRPr="005158CE" w:rsidRDefault="00996602" w:rsidP="00996602">
      <w:pPr>
        <w:jc w:val="both"/>
      </w:pPr>
    </w:p>
    <w:p w14:paraId="713B44CE" w14:textId="77777777" w:rsidR="00996602" w:rsidRPr="008A690F" w:rsidRDefault="00996602" w:rsidP="00996602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Melissa Marselina</w:t>
      </w:r>
      <w:r w:rsidRPr="008A690F">
        <w:rPr>
          <w:lang w:val="en-NZ"/>
        </w:rPr>
        <w:br/>
      </w:r>
      <w:r w:rsidRPr="008A690F">
        <w:rPr>
          <w:lang w:val="en-NZ"/>
        </w:rPr>
        <w:lastRenderedPageBreak/>
        <w:t>Contact number:</w:t>
      </w:r>
      <w:r>
        <w:rPr>
          <w:lang w:val="en-NZ"/>
        </w:rPr>
        <w:t xml:space="preserve"> +62811239495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@mmarselina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Melissa Marselina</w:t>
      </w:r>
    </w:p>
    <w:p w14:paraId="09CB81A9" w14:textId="77777777" w:rsidR="00996602" w:rsidRDefault="00996602" w:rsidP="00996602">
      <w:r>
        <w:rPr>
          <w:lang w:val="en-NZ"/>
        </w:rPr>
        <w:t>Category: Poster presentation</w:t>
      </w:r>
    </w:p>
    <w:p w14:paraId="5F39D662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A240A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96602"/>
    <w:rsid w:val="009E52D9"/>
    <w:rsid w:val="00A07288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1ECA8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2165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Melissa Marselina</cp:lastModifiedBy>
  <cp:revision>2</cp:revision>
  <dcterms:created xsi:type="dcterms:W3CDTF">2016-08-28T08:25:00Z</dcterms:created>
  <dcterms:modified xsi:type="dcterms:W3CDTF">2016-08-28T08:25:00Z</dcterms:modified>
</cp:coreProperties>
</file>