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90D" w:rsidRPr="00927309" w:rsidRDefault="0000390D" w:rsidP="0000390D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="Times New Roman"/>
          <w:b/>
          <w:bCs/>
          <w:sz w:val="20"/>
          <w:szCs w:val="20"/>
        </w:rPr>
      </w:pPr>
      <w:r w:rsidRPr="00927309">
        <w:rPr>
          <w:rFonts w:asciiTheme="majorHAnsi" w:hAnsiTheme="majorHAnsi" w:cs="Times New Roman"/>
          <w:b/>
          <w:bCs/>
          <w:sz w:val="28"/>
          <w:szCs w:val="28"/>
        </w:rPr>
        <w:t>Aberrometric Outcomes of Intrastromal Corneal Ring Segment (KeraRing 355) in</w:t>
      </w:r>
      <w:r w:rsidRPr="00927309">
        <w:rPr>
          <w:rFonts w:asciiTheme="majorHAnsi" w:hAnsiTheme="majorHAnsi" w:cs="Times New Roman"/>
          <w:b/>
          <w:bCs/>
          <w:sz w:val="28"/>
          <w:szCs w:val="28"/>
          <w:lang w:bidi="fa-IR"/>
        </w:rPr>
        <w:t xml:space="preserve"> </w:t>
      </w:r>
      <w:r w:rsidRPr="00927309">
        <w:rPr>
          <w:rFonts w:asciiTheme="majorHAnsi" w:hAnsiTheme="majorHAnsi" w:cs="Times New Roman"/>
          <w:b/>
          <w:bCs/>
          <w:sz w:val="28"/>
          <w:szCs w:val="28"/>
        </w:rPr>
        <w:t>Patients with Keratoconus</w:t>
      </w:r>
    </w:p>
    <w:p w:rsidR="0000390D" w:rsidRDefault="0000390D" w:rsidP="0000390D">
      <w:pPr>
        <w:autoSpaceDE w:val="0"/>
        <w:autoSpaceDN w:val="0"/>
        <w:adjustRightInd w:val="0"/>
        <w:spacing w:after="0" w:line="360" w:lineRule="auto"/>
        <w:jc w:val="lowKashida"/>
        <w:rPr>
          <w:rFonts w:ascii="Times New Roman" w:hAnsi="Times New Roman" w:cs="Times New Roman"/>
          <w:sz w:val="20"/>
          <w:szCs w:val="20"/>
        </w:rPr>
      </w:pPr>
      <w:r w:rsidRPr="00B02995">
        <w:rPr>
          <w:rFonts w:asciiTheme="majorBidi" w:hAnsiTheme="majorBidi" w:cs="Times New Roman"/>
          <w:b/>
          <w:bCs/>
          <w:sz w:val="20"/>
          <w:szCs w:val="20"/>
        </w:rPr>
        <w:t>Objective</w:t>
      </w:r>
      <w:r w:rsidRPr="00DB5D13">
        <w:rPr>
          <w:rFonts w:asciiTheme="majorBidi" w:hAnsiTheme="majorBidi" w:cs="Times New Roman"/>
          <w:sz w:val="24"/>
          <w:szCs w:val="24"/>
        </w:rPr>
        <w:t xml:space="preserve">: </w:t>
      </w:r>
      <w:r w:rsidRPr="00927309">
        <w:rPr>
          <w:rFonts w:asciiTheme="majorHAnsi" w:hAnsiTheme="majorHAnsi" w:cs="Times New Roman"/>
          <w:sz w:val="24"/>
          <w:szCs w:val="24"/>
        </w:rPr>
        <w:t xml:space="preserve">To evaluate aberrometric changes in corneas with keratoconus implanted with intrastromal corneal ring segment (Keraring </w:t>
      </w:r>
      <w:r w:rsidRPr="00927309">
        <w:rPr>
          <w:rFonts w:asciiTheme="majorHAnsi" w:hAnsiTheme="majorHAnsi" w:cs="Times New Roman"/>
          <w:sz w:val="24"/>
          <w:szCs w:val="24"/>
          <w:rtl/>
        </w:rPr>
        <w:t>355</w:t>
      </w:r>
      <w:r w:rsidRPr="00927309">
        <w:rPr>
          <w:rFonts w:asciiTheme="majorHAnsi" w:hAnsiTheme="majorHAnsi" w:cs="Times New Roman"/>
          <w:sz w:val="24"/>
          <w:szCs w:val="24"/>
        </w:rPr>
        <w:t>) during a 3-months follow-up</w:t>
      </w:r>
      <w:r w:rsidRPr="00E14943">
        <w:rPr>
          <w:rFonts w:ascii="Times New Roman" w:hAnsi="Times New Roman" w:cs="Times New Roman"/>
          <w:sz w:val="20"/>
          <w:szCs w:val="20"/>
        </w:rPr>
        <w:t>.</w:t>
      </w:r>
    </w:p>
    <w:p w:rsidR="0000390D" w:rsidRPr="00927309" w:rsidRDefault="0000390D" w:rsidP="0000390D">
      <w:pPr>
        <w:autoSpaceDE w:val="0"/>
        <w:autoSpaceDN w:val="0"/>
        <w:adjustRightInd w:val="0"/>
        <w:spacing w:after="0" w:line="360" w:lineRule="auto"/>
        <w:jc w:val="lowKashida"/>
        <w:rPr>
          <w:rFonts w:asciiTheme="majorHAnsi" w:hAnsiTheme="majorHAnsi" w:cs="Times New Roman"/>
          <w:sz w:val="24"/>
          <w:szCs w:val="24"/>
        </w:rPr>
      </w:pPr>
      <w:r>
        <w:rPr>
          <w:rFonts w:ascii="HelveticaNeue-BoldItalic" w:hAnsi="HelveticaNeue-BoldItalic"/>
          <w:b/>
          <w:bCs/>
          <w:i/>
          <w:iCs/>
          <w:color w:val="231F20"/>
          <w:sz w:val="20"/>
          <w:szCs w:val="20"/>
        </w:rPr>
        <w:t xml:space="preserve">Design: </w:t>
      </w:r>
      <w:r w:rsidRPr="00927309">
        <w:rPr>
          <w:rFonts w:asciiTheme="majorHAnsi" w:hAnsiTheme="majorHAnsi"/>
          <w:color w:val="231F20"/>
          <w:sz w:val="24"/>
          <w:szCs w:val="24"/>
        </w:rPr>
        <w:t>Prospective, consecutive case series</w:t>
      </w:r>
    </w:p>
    <w:p w:rsidR="0000390D" w:rsidRPr="00E14943" w:rsidRDefault="0000390D" w:rsidP="0000390D">
      <w:pPr>
        <w:autoSpaceDE w:val="0"/>
        <w:autoSpaceDN w:val="0"/>
        <w:adjustRightInd w:val="0"/>
        <w:spacing w:after="0" w:line="360" w:lineRule="auto"/>
        <w:jc w:val="both"/>
        <w:rPr>
          <w:rFonts w:ascii="AdvGulliv-R" w:cs="AdvGulliv-R"/>
          <w:sz w:val="10"/>
          <w:szCs w:val="10"/>
        </w:rPr>
      </w:pPr>
      <w:r w:rsidRPr="00167A21">
        <w:rPr>
          <w:rFonts w:asciiTheme="majorBidi" w:hAnsiTheme="majorBidi" w:cs="Times New Roman"/>
          <w:b/>
          <w:bCs/>
          <w:sz w:val="20"/>
          <w:szCs w:val="20"/>
        </w:rPr>
        <w:t>Method</w:t>
      </w:r>
      <w:r w:rsidRPr="00167A21">
        <w:rPr>
          <w:rFonts w:asciiTheme="majorBidi" w:hAnsiTheme="majorBidi" w:cs="Times New Roman"/>
          <w:sz w:val="20"/>
          <w:szCs w:val="20"/>
        </w:rPr>
        <w:t>s</w:t>
      </w:r>
      <w:r w:rsidRPr="00DB5D13">
        <w:rPr>
          <w:rFonts w:asciiTheme="majorBidi" w:hAnsiTheme="majorBidi" w:cs="Times New Roman"/>
          <w:sz w:val="24"/>
          <w:szCs w:val="24"/>
        </w:rPr>
        <w:t>:</w:t>
      </w:r>
      <w:r w:rsidRPr="00927309">
        <w:rPr>
          <w:rFonts w:asciiTheme="majorHAnsi" w:hAnsiTheme="majorHAnsi" w:cs="Times New Roman"/>
          <w:sz w:val="24"/>
          <w:szCs w:val="24"/>
        </w:rPr>
        <w:t xml:space="preserve"> In this interventional study, 22 eyes of 21 keratoconic patients with mean age of  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27309">
        <w:rPr>
          <w:rFonts w:asciiTheme="majorHAnsi" w:hAnsiTheme="majorHAnsi" w:cs="Times New Roman"/>
          <w:sz w:val="24"/>
          <w:szCs w:val="24"/>
        </w:rPr>
        <w:t>29 ± 6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27309">
        <w:rPr>
          <w:rFonts w:asciiTheme="majorHAnsi" w:hAnsiTheme="majorHAnsi" w:cs="Times New Roman"/>
          <w:sz w:val="24"/>
          <w:szCs w:val="24"/>
        </w:rPr>
        <w:t>years</w:t>
      </w:r>
      <w:r w:rsidRPr="00927309">
        <w:rPr>
          <w:rFonts w:asciiTheme="majorHAnsi" w:hAnsiTheme="majorHAnsi"/>
          <w:color w:val="231F20"/>
          <w:sz w:val="24"/>
          <w:szCs w:val="24"/>
        </w:rPr>
        <w:t xml:space="preserve"> </w:t>
      </w:r>
      <w:r>
        <w:rPr>
          <w:rFonts w:asciiTheme="majorHAnsi" w:hAnsiTheme="majorHAnsi" w:cs="Times New Roman"/>
          <w:sz w:val="24"/>
          <w:szCs w:val="24"/>
        </w:rPr>
        <w:t xml:space="preserve">who underwent </w:t>
      </w:r>
      <w:r w:rsidRPr="00927309">
        <w:rPr>
          <w:rFonts w:asciiTheme="majorHAnsi" w:hAnsiTheme="majorHAnsi" w:cs="Times New Roman"/>
          <w:sz w:val="24"/>
          <w:szCs w:val="24"/>
        </w:rPr>
        <w:t xml:space="preserve">KeraRing 355 intrastromal corneal insertion using a PocketMaker Microkeratome for </w:t>
      </w:r>
      <w:r>
        <w:rPr>
          <w:rFonts w:asciiTheme="majorHAnsi" w:hAnsiTheme="majorHAnsi" w:cs="Times New Roman"/>
          <w:sz w:val="24"/>
          <w:szCs w:val="24"/>
        </w:rPr>
        <w:t>channel creation and completed at least three months of follow-up were included</w:t>
      </w:r>
      <w:r w:rsidRPr="00927309">
        <w:rPr>
          <w:rFonts w:asciiTheme="majorHAnsi" w:hAnsiTheme="majorHAnsi" w:cs="Times New Roman"/>
          <w:sz w:val="24"/>
          <w:szCs w:val="24"/>
        </w:rPr>
        <w:t xml:space="preserve">. Uncorrected  visual acuity( UCVA), best corrected  visual acuity (BCVA), Contrast Sensivity, refractive outcome, Orbscan finding and corneal abberrations </w:t>
      </w:r>
      <w:r w:rsidRPr="0050479B">
        <w:rPr>
          <w:rFonts w:asciiTheme="majorHAnsi" w:hAnsiTheme="majorHAnsi" w:cs="Times New Roman"/>
          <w:sz w:val="24"/>
          <w:szCs w:val="24"/>
        </w:rPr>
        <w:t>were assessed.</w:t>
      </w:r>
    </w:p>
    <w:p w:rsidR="0000390D" w:rsidRPr="009B618D" w:rsidRDefault="0000390D" w:rsidP="0000390D">
      <w:pPr>
        <w:autoSpaceDE w:val="0"/>
        <w:autoSpaceDN w:val="0"/>
        <w:adjustRightInd w:val="0"/>
        <w:spacing w:after="0" w:line="360" w:lineRule="auto"/>
        <w:jc w:val="lowKashida"/>
        <w:rPr>
          <w:rFonts w:asciiTheme="majorBidi" w:hAnsiTheme="majorBidi" w:cs="Times New Roman"/>
          <w:color w:val="FF0000"/>
          <w:sz w:val="24"/>
          <w:szCs w:val="24"/>
        </w:rPr>
      </w:pPr>
      <w:r w:rsidRPr="006343D2">
        <w:rPr>
          <w:rFonts w:asciiTheme="majorBidi" w:hAnsiTheme="majorBidi" w:cs="Times New Roman"/>
          <w:b/>
          <w:bCs/>
          <w:sz w:val="20"/>
          <w:szCs w:val="20"/>
        </w:rPr>
        <w:t>Results</w:t>
      </w:r>
      <w:r w:rsidRPr="00DB5D13">
        <w:rPr>
          <w:rFonts w:asciiTheme="majorBidi" w:hAnsiTheme="majorBidi" w:cs="Times New Roman"/>
          <w:sz w:val="24"/>
          <w:szCs w:val="24"/>
        </w:rPr>
        <w:t xml:space="preserve">: </w:t>
      </w:r>
      <w:r>
        <w:rPr>
          <w:rFonts w:asciiTheme="majorHAnsi" w:hAnsiTheme="majorHAnsi" w:cs="Times New Roman"/>
          <w:sz w:val="24"/>
          <w:szCs w:val="24"/>
        </w:rPr>
        <w:t xml:space="preserve">Three months postoperately, </w:t>
      </w:r>
      <w:proofErr w:type="gramStart"/>
      <w:r w:rsidRPr="00927309">
        <w:rPr>
          <w:rFonts w:asciiTheme="majorHAnsi" w:hAnsiTheme="majorHAnsi" w:cs="Times New Roman"/>
          <w:sz w:val="24"/>
          <w:szCs w:val="24"/>
        </w:rPr>
        <w:t>The</w:t>
      </w:r>
      <w:proofErr w:type="gramEnd"/>
      <w:r w:rsidRPr="00927309">
        <w:rPr>
          <w:rFonts w:asciiTheme="majorHAnsi" w:hAnsiTheme="majorHAnsi" w:cs="Times New Roman"/>
          <w:sz w:val="24"/>
          <w:szCs w:val="24"/>
        </w:rPr>
        <w:t xml:space="preserve"> mean UCVA (in LogMAR value) improved significantly from 0.75 ± 0.33 to 0.31 ± 0.23</w:t>
      </w:r>
      <w:r w:rsidRPr="00927309">
        <w:rPr>
          <w:rFonts w:asciiTheme="majorHAnsi" w:hAnsiTheme="majorHAnsi" w:cs="Times New Roman"/>
          <w:sz w:val="24"/>
          <w:szCs w:val="24"/>
          <w:rtl/>
          <w:lang w:bidi="fa-IR"/>
        </w:rPr>
        <w:t xml:space="preserve"> </w:t>
      </w:r>
      <w:r>
        <w:rPr>
          <w:rFonts w:asciiTheme="majorHAnsi" w:hAnsiTheme="majorHAnsi" w:cs="Times New Roman"/>
          <w:sz w:val="24"/>
          <w:szCs w:val="24"/>
        </w:rPr>
        <w:t xml:space="preserve">and the mean BCVA </w:t>
      </w:r>
      <w:r w:rsidRPr="00927309">
        <w:rPr>
          <w:rFonts w:asciiTheme="majorHAnsi" w:hAnsiTheme="majorHAnsi" w:cs="Times New Roman"/>
          <w:sz w:val="24"/>
          <w:szCs w:val="24"/>
        </w:rPr>
        <w:t>improved (from 0.31 ± 0.16 to 0.19 ± 0.15). The mean spherical refractive error improved (from -1.37 ± 1.36 to 0.01 ± 2.47) and the mean cylindrical refractive error decreased significantly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proofErr w:type="gramStart"/>
      <w:r w:rsidRPr="00927309">
        <w:rPr>
          <w:rFonts w:asciiTheme="majorHAnsi" w:hAnsiTheme="majorHAnsi" w:cs="Times New Roman"/>
          <w:sz w:val="24"/>
          <w:szCs w:val="24"/>
        </w:rPr>
        <w:t>( from</w:t>
      </w:r>
      <w:proofErr w:type="gramEnd"/>
      <w:r w:rsidRPr="00927309">
        <w:rPr>
          <w:rFonts w:asciiTheme="majorHAnsi" w:hAnsiTheme="majorHAnsi" w:cs="Times New Roman"/>
          <w:sz w:val="24"/>
          <w:szCs w:val="24"/>
        </w:rPr>
        <w:t xml:space="preserve"> -3.8 ± 1.03 to -2.1 ± 1.27</w:t>
      </w:r>
      <w:r w:rsidRPr="00927309">
        <w:rPr>
          <w:rFonts w:asciiTheme="majorHAnsi" w:hAnsiTheme="majorHAnsi" w:cs="Times New Roman"/>
          <w:sz w:val="24"/>
          <w:szCs w:val="24"/>
          <w:rtl/>
          <w:lang w:bidi="fa-IR"/>
        </w:rPr>
        <w:t>(</w:t>
      </w:r>
      <w:r w:rsidRPr="00927309">
        <w:rPr>
          <w:rFonts w:asciiTheme="majorHAnsi" w:hAnsiTheme="majorHAnsi" w:cs="Times New Roman"/>
          <w:sz w:val="24"/>
          <w:szCs w:val="24"/>
        </w:rPr>
        <w:t>. Also, the mean keratometry value decreased from 47.63 ± 1.9 to 42.06 ± 2.47. In regard to aberrometry, Low order aberration (defocus and astigmatism)</w:t>
      </w:r>
      <w:r w:rsidRPr="00927309">
        <w:rPr>
          <w:rFonts w:asciiTheme="majorHAnsi" w:hAnsiTheme="majorHAnsi" w:cs="Times New Roman"/>
          <w:sz w:val="24"/>
          <w:szCs w:val="24"/>
          <w:rtl/>
          <w:lang w:bidi="fa-IR"/>
        </w:rPr>
        <w:t xml:space="preserve"> </w:t>
      </w:r>
      <w:r w:rsidRPr="00927309">
        <w:rPr>
          <w:rFonts w:asciiTheme="majorHAnsi" w:hAnsiTheme="majorHAnsi" w:cs="Times New Roman"/>
          <w:sz w:val="24"/>
          <w:szCs w:val="24"/>
        </w:rPr>
        <w:t xml:space="preserve">decreased significantly postoperatively. No statistically significant changes were detected in total RMS, trefoil, secondary trefoil and coma. A statistically significant increase in quatrefoil, secondary coma, spherical aberration and secondary spherical was </w:t>
      </w:r>
      <w:r w:rsidRPr="0050479B">
        <w:rPr>
          <w:rFonts w:asciiTheme="majorHAnsi" w:hAnsiTheme="majorHAnsi" w:cs="Times New Roman"/>
          <w:sz w:val="24"/>
          <w:szCs w:val="24"/>
        </w:rPr>
        <w:t>found.</w:t>
      </w:r>
    </w:p>
    <w:p w:rsidR="0000390D" w:rsidRDefault="0000390D" w:rsidP="0000390D">
      <w:pPr>
        <w:autoSpaceDE w:val="0"/>
        <w:autoSpaceDN w:val="0"/>
        <w:adjustRightInd w:val="0"/>
        <w:spacing w:after="0" w:line="360" w:lineRule="auto"/>
        <w:jc w:val="lowKashida"/>
        <w:rPr>
          <w:rFonts w:asciiTheme="majorBidi" w:hAnsiTheme="majorBidi" w:cs="Times New Roman"/>
          <w:b/>
          <w:bCs/>
          <w:sz w:val="20"/>
          <w:szCs w:val="20"/>
        </w:rPr>
      </w:pPr>
      <w:r w:rsidRPr="003A298B">
        <w:rPr>
          <w:rFonts w:asciiTheme="majorBidi" w:hAnsiTheme="majorBidi" w:cs="Times New Roman"/>
          <w:b/>
          <w:bCs/>
          <w:sz w:val="20"/>
          <w:szCs w:val="20"/>
        </w:rPr>
        <w:t>Conclusion</w:t>
      </w:r>
      <w:r w:rsidRPr="00DB5D13">
        <w:rPr>
          <w:rFonts w:asciiTheme="majorBidi" w:hAnsiTheme="majorBidi" w:cs="Times New Roman"/>
          <w:sz w:val="24"/>
          <w:szCs w:val="24"/>
        </w:rPr>
        <w:t xml:space="preserve">: </w:t>
      </w:r>
      <w:r w:rsidRPr="00927309">
        <w:rPr>
          <w:rFonts w:asciiTheme="majorHAnsi" w:hAnsiTheme="majorHAnsi" w:cs="Times New Roman"/>
          <w:sz w:val="24"/>
          <w:szCs w:val="24"/>
        </w:rPr>
        <w:t>KeraRing 355 implantation provided significant improvement in UCVA, spherical and cylindrical refractive error, keratometry results and low order aberrations but it was not effective in HOA.</w:t>
      </w:r>
    </w:p>
    <w:p w:rsidR="0000390D" w:rsidRPr="00E14943" w:rsidRDefault="0000390D" w:rsidP="0000390D">
      <w:pPr>
        <w:autoSpaceDE w:val="0"/>
        <w:autoSpaceDN w:val="0"/>
        <w:adjustRightInd w:val="0"/>
        <w:spacing w:after="0" w:line="360" w:lineRule="auto"/>
        <w:jc w:val="lowKashida"/>
        <w:rPr>
          <w:rFonts w:asciiTheme="majorBidi" w:hAnsiTheme="majorBidi" w:cs="Times New Roman"/>
          <w:sz w:val="14"/>
          <w:szCs w:val="14"/>
        </w:rPr>
      </w:pPr>
      <w:r w:rsidRPr="005C2D38">
        <w:rPr>
          <w:rFonts w:asciiTheme="majorBidi" w:hAnsiTheme="majorBidi" w:cs="Times New Roman"/>
          <w:b/>
          <w:bCs/>
          <w:sz w:val="20"/>
          <w:szCs w:val="20"/>
        </w:rPr>
        <w:t>Key Words</w:t>
      </w:r>
      <w:r w:rsidRPr="00DB5D13">
        <w:rPr>
          <w:rFonts w:asciiTheme="majorBidi" w:hAnsiTheme="majorBidi" w:cs="Times New Roman"/>
          <w:sz w:val="24"/>
          <w:szCs w:val="24"/>
        </w:rPr>
        <w:t xml:space="preserve">: </w:t>
      </w:r>
      <w:r w:rsidRPr="0050479B">
        <w:rPr>
          <w:rFonts w:asciiTheme="majorHAnsi" w:hAnsiTheme="majorHAnsi" w:cs="Times New Roman"/>
          <w:sz w:val="24"/>
          <w:szCs w:val="24"/>
        </w:rPr>
        <w:t>Keratoconus, KeraRing 355, Aberration</w:t>
      </w:r>
    </w:p>
    <w:p w:rsidR="00DF61A4" w:rsidRDefault="00DF61A4">
      <w:bookmarkStart w:id="0" w:name="_GoBack"/>
      <w:bookmarkEnd w:id="0"/>
    </w:p>
    <w:sectPr w:rsidR="00DF61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-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Gulliv-R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90D"/>
    <w:rsid w:val="0000390D"/>
    <w:rsid w:val="00DF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90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90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2016-08-04T11:14:00Z</dcterms:created>
  <dcterms:modified xsi:type="dcterms:W3CDTF">2016-08-04T11:15:00Z</dcterms:modified>
</cp:coreProperties>
</file>