
<file path=[Content_Types].xml><?xml version="1.0" encoding="utf-8"?>
<Types xmlns="http://schemas.openxmlformats.org/package/2006/content-types">
  <Default Extension="jpg" ContentType="application/octet-stream"/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theme/theme1.xml" ContentType="application/vnd.openxmlformats-officedocument.theme+xml"/>
</Types>
</file>

<file path=_rels/.rels><?xml version="1.0" encoding="UTF-8"?>
<Relationships xmlns="http://schemas.openxmlformats.org/package/2006/relationships"><Relationship Id="rId1" Type="http://schemas.openxmlformats.org/package/2006/relationships/metadata/core-properties" Target="docProps/core.xml"></Relationship><Relationship Id="rId2" Type="http://schemas.openxmlformats.org/officeDocument/2006/relationships/extended-properties" Target="docProps/app.xml"></Relationship><Relationship Id="rId3" Type="http://schemas.openxmlformats.org/officeDocument/2006/relationships/officeDocument" Target="word/document.xml"></Relationship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Para0"/>
        <w:spacing w:line="240" w:lineRule="auto"/>
        <w:ind w:left="-810" w:right="-360" w:firstLine="360"/>
        <w:tabs>
          <w:tab w:val="left" w:pos="9990"/>
        </w:tabs>
        <w:rPr>
          <w:b/>
          <w:sz w:val="22"/>
          <w:szCs w:val="22"/>
        </w:rPr>
      </w:pPr>
      <w:r>
        <w:rPr>
          <w:sz w:val="20"/>
        </w:rPr>
        <w:drawing>
          <wp:inline distT="0" distB="0" distL="0" distR="0">
            <wp:extent cx="1194435" cy="933450"/>
            <wp:effectExtent l="0" t="0" r="1881" b="0"/>
            <wp:docPr id="2" name="Picture 1" descr="/storage/emulated/0/.polarisOffice/polarisTemp/1639612424/image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/storage/emulated/0/.polarisOffice/polarisTemp/1639612424/image1.jpe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1194435" cy="933450"/>
                    </a:xfrm>
                    <a:prstGeom prst="rect"/>
                    <a:noFill/>
                    <a:ln w="3175" cap="flat" cmpd="sng">
                      <a:noFill/>
                      <a:prstDash/>
                    </a:ln>
                  </pic:spPr>
                </pic:pic>
              </a:graphicData>
            </a:graphic>
          </wp:inline>
        </w:drawing>
      </w:r>
    </w:p>
    <w:p>
      <w:pPr>
        <w:pStyle w:val="Para1"/>
        <w:spacing w:line="240" w:lineRule="auto"/>
        <w:ind w:left="-810" w:right="-360" w:firstLine="360"/>
        <w:tabs>
          <w:tab w:val="left" w:pos="9990"/>
        </w:tabs>
        <w:rPr>
          <w:b/>
          <w:sz w:val="24"/>
          <w:szCs w:val="24"/>
        </w:rPr>
      </w:pPr>
      <w:r>
        <w:rPr>
          <w:rStyle w:val="Character2"/>
          <w:sz w:val="24"/>
          <w:szCs w:val="24"/>
        </w:rPr>
        <w:t xml:space="preserve">KNOWLEDGE AND ATTITUDINAL DISPOSITION AND WILLINGNESS OF MEN TO SUPPORT </w:t>
      </w:r>
      <w:r>
        <w:rPr>
          <w:rStyle w:val="Character2"/>
          <w:sz w:val="24"/>
          <w:szCs w:val="24"/>
        </w:rPr>
        <w:t xml:space="preserve">SPOUSES’ CERVICAL CANCER SCREENING IN A SUB-URBAN AREA IN NIGERIA</w:t>
      </w:r>
    </w:p>
    <w:p>
      <w:pPr>
        <w:pStyle w:val="Para2"/>
        <w:spacing w:line="240" w:lineRule="auto"/>
        <w:ind w:right="-360" w:firstLine="0"/>
        <w:rPr>
          <w:i/>
          <w:sz w:val="24"/>
          <w:szCs w:val="24"/>
        </w:rPr>
      </w:pPr>
      <w:r>
        <w:rPr>
          <w:rStyle w:val="Character3"/>
          <w:sz w:val="24"/>
          <w:szCs w:val="24"/>
        </w:rPr>
        <w:t/>
      </w:r>
    </w:p>
    <w:p>
      <w:pPr>
        <w:pStyle w:val="Para2"/>
        <w:spacing w:line="240" w:lineRule="auto"/>
        <w:ind w:right="-360" w:firstLine="0"/>
        <w:rPr>
          <w:i/>
          <w:sz w:val="24"/>
          <w:szCs w:val="24"/>
        </w:rPr>
      </w:pPr>
      <w:r>
        <w:rPr>
          <w:rStyle w:val="Character3"/>
          <w:sz w:val="24"/>
          <w:szCs w:val="24"/>
        </w:rPr>
        <w:t>Authors</w:t>
      </w:r>
      <w:r>
        <w:rPr>
          <w:rStyle w:val="Character4"/>
          <w:sz w:val="24"/>
          <w:szCs w:val="24"/>
        </w:rPr>
        <w:t xml:space="preserve">: Awele O.C , Principal investigator, and Oyewole O.E, Lecturer, Faculty of Public Health,  University of </w:t>
      </w:r>
      <w:r>
        <w:rPr>
          <w:rStyle w:val="Character4"/>
          <w:sz w:val="24"/>
          <w:szCs w:val="24"/>
        </w:rPr>
        <w:t xml:space="preserve">Ibadan, email: </w:t>
      </w:r>
      <w:hyperlink r:id="rId6">
        <w:r>
          <w:rPr>
            <w:rStyle w:val="Character7"/>
            <w:sz w:val="24"/>
            <w:szCs w:val="24"/>
          </w:rPr>
          <w:t>c.awele@yahoo.com</w:t>
        </w:r>
      </w:hyperlink>
      <w:r>
        <w:rPr>
          <w:rStyle w:val="Character3"/>
          <w:sz w:val="24"/>
          <w:szCs w:val="24"/>
        </w:rPr>
        <w:t>,</w:t>
      </w:r>
    </w:p>
    <w:p>
      <w:pPr>
        <w:pStyle w:val="Para2"/>
        <w:spacing w:line="240" w:lineRule="auto"/>
        <w:ind w:right="-360" w:firstLine="0"/>
        <w:rPr>
          <w:b/>
          <w:sz w:val="24"/>
          <w:szCs w:val="24"/>
        </w:rPr>
      </w:pPr>
      <w:r>
        <w:rPr>
          <w:rStyle w:val="Character2"/>
          <w:sz w:val="24"/>
          <w:szCs w:val="24"/>
        </w:rPr>
        <w:t/>
      </w:r>
    </w:p>
    <w:p>
      <w:pPr>
        <w:pStyle w:val="Para2"/>
        <w:spacing w:line="240" w:lineRule="auto"/>
        <w:ind w:right="-360" w:firstLine="0"/>
        <w:rPr>
          <w:b/>
          <w:sz w:val="24"/>
          <w:szCs w:val="24"/>
        </w:rPr>
      </w:pPr>
      <w:r>
        <w:rPr>
          <w:rStyle w:val="Character2"/>
          <w:sz w:val="24"/>
          <w:szCs w:val="24"/>
        </w:rPr>
        <w:t>ABSTRACT</w:t>
      </w:r>
    </w:p>
    <w:p>
      <w:pPr>
        <w:pStyle w:val="Para3"/>
        <w:spacing w:line="240" w:lineRule="auto"/>
        <w:ind w:right="-360" w:firstLine="0"/>
        <w:rPr>
          <w:sz w:val="24"/>
          <w:szCs w:val="24"/>
        </w:rPr>
      </w:pPr>
      <w:r>
        <w:rPr>
          <w:rStyle w:val="Character4"/>
          <w:sz w:val="24"/>
          <w:szCs w:val="24"/>
        </w:rPr>
        <w:t xml:space="preserve">In Nigeria Cervical Cancer (CC) screening services are poorly utilised. Men are dominant decision makers on </w:t>
      </w:r>
      <w:r>
        <w:rPr>
          <w:rStyle w:val="Character4"/>
          <w:sz w:val="24"/>
          <w:szCs w:val="24"/>
        </w:rPr>
        <w:t xml:space="preserve">spouses’ utilisation of reproductive health services, but their support for CC screening have not been fully explored. </w:t>
      </w:r>
      <w:r>
        <w:rPr>
          <w:rStyle w:val="Character4"/>
          <w:sz w:val="24"/>
          <w:szCs w:val="24"/>
        </w:rPr>
        <w:t xml:space="preserve">This study aimed at assessing knowledge and attitudinal disposition of men to spouses’ CC screening in a sub-</w:t>
      </w:r>
      <w:r>
        <w:rPr>
          <w:rStyle w:val="Character4"/>
          <w:sz w:val="24"/>
          <w:szCs w:val="24"/>
        </w:rPr>
        <w:t xml:space="preserve">urban area in Nigeria. As a cross-sectional survey, a four-stage sampling procedure was used to select the study </w:t>
      </w:r>
      <w:r>
        <w:rPr>
          <w:rStyle w:val="Character4"/>
          <w:sz w:val="24"/>
          <w:szCs w:val="24"/>
        </w:rPr>
        <w:t xml:space="preserve">LGA, four wards, communities, and 304 men aged 20-69 years. Four focus Group Discussion (FGD) sessions were </w:t>
      </w:r>
      <w:r>
        <w:rPr>
          <w:rStyle w:val="Character4"/>
          <w:sz w:val="24"/>
          <w:szCs w:val="24"/>
        </w:rPr>
        <w:t xml:space="preserve">conducted. Interviewer-administered questionnaire with, a 20-point knowledge, 16-point attitudinal, 10-point </w:t>
      </w:r>
      <w:r>
        <w:rPr>
          <w:rStyle w:val="Character4"/>
          <w:sz w:val="24"/>
          <w:szCs w:val="24"/>
        </w:rPr>
        <w:t xml:space="preserve">willingness scales, and men’s support enhancing factors was used for data collection</w:t>
      </w:r>
      <w:r>
        <w:rPr>
          <w:rStyle w:val="Character2"/>
          <w:sz w:val="24"/>
          <w:szCs w:val="24"/>
        </w:rPr>
        <w:t xml:space="preserve">. </w:t>
      </w:r>
      <w:r>
        <w:rPr>
          <w:rStyle w:val="Character4"/>
          <w:sz w:val="24"/>
          <w:szCs w:val="24"/>
        </w:rPr>
        <w:t xml:space="preserve">Knowledge scores ≥ 10,  </w:t>
      </w:r>
      <w:r>
        <w:rPr>
          <w:rStyle w:val="Character4"/>
          <w:sz w:val="24"/>
          <w:szCs w:val="24"/>
        </w:rPr>
        <w:t xml:space="preserve">attitudinal scores  &gt;8, and willingness scores  ≥7 points were classified as good, positive, and willing respectively. </w:t>
      </w:r>
      <w:r>
        <w:rPr>
          <w:rStyle w:val="Character4"/>
          <w:sz w:val="24"/>
          <w:szCs w:val="24"/>
        </w:rPr>
        <w:t xml:space="preserve">Data were analysed using, Chi-square and Logistic regression tests, at 5% level of significance. A</w:t>
      </w:r>
      <w:r>
        <w:rPr>
          <w:rStyle w:val="Character2"/>
          <w:sz w:val="24"/>
          <w:szCs w:val="24"/>
        </w:rPr>
        <w:t>g</w:t>
      </w:r>
      <w:r>
        <w:rPr>
          <w:rStyle w:val="Character4"/>
          <w:sz w:val="24"/>
          <w:szCs w:val="24"/>
        </w:rPr>
        <w:t xml:space="preserve">e of respondents </w:t>
      </w:r>
      <w:r>
        <w:rPr>
          <w:rStyle w:val="Character4"/>
          <w:sz w:val="24"/>
          <w:szCs w:val="24"/>
        </w:rPr>
        <w:t xml:space="preserve">was 35.9±9.7 years, 16.1% had tertiary education, and (79.6%) were ever married. Awareness of symptoms, and </w:t>
      </w:r>
      <w:r>
        <w:rPr>
          <w:rStyle w:val="Character4"/>
          <w:sz w:val="24"/>
          <w:szCs w:val="24"/>
        </w:rPr>
        <w:t xml:space="preserve">that screening prevents CC were 1.3%, 42.0% respectively, and 35.5% perceived CC as a curse to promiscuous </w:t>
      </w:r>
      <w:r>
        <w:rPr>
          <w:rStyle w:val="Character4"/>
          <w:sz w:val="24"/>
          <w:szCs w:val="24"/>
        </w:rPr>
        <w:t xml:space="preserve">women. Knowledge, attitudinal, and willingness scores were 5.97± 5.0, 9.5±4.4, and 7.5±2.3 respectively. Many </w:t>
      </w:r>
      <w:r>
        <w:rPr>
          <w:rStyle w:val="Character4"/>
          <w:sz w:val="24"/>
          <w:szCs w:val="24"/>
        </w:rPr>
        <w:t xml:space="preserve">(78.6%) had poor knowledge, (45.7%) negative attitude, and 69.1% willing to support spouse’s CC screening. </w:t>
      </w:r>
      <w:r>
        <w:rPr>
          <w:rStyle w:val="Character4"/>
          <w:sz w:val="24"/>
          <w:szCs w:val="24"/>
        </w:rPr>
        <w:t xml:space="preserve">Suggestions for enhancing support for C.C screening included awareness creation (86.9%). Men with tertiary </w:t>
      </w:r>
      <w:r>
        <w:rPr>
          <w:rStyle w:val="Character4"/>
          <w:sz w:val="24"/>
          <w:szCs w:val="24"/>
        </w:rPr>
        <w:t xml:space="preserve">education were more likely to have good knowledge of CC than those with primary education (OR:3.5, p≤0.05, </w:t>
      </w:r>
      <w:r>
        <w:rPr>
          <w:rStyle w:val="Character4"/>
          <w:sz w:val="24"/>
          <w:szCs w:val="24"/>
        </w:rPr>
        <w:t xml:space="preserve">C.I.=1.5-8.1). Men with good knowledge of CC screening were more likely to have positive attitudinal disposition </w:t>
      </w:r>
      <w:r>
        <w:rPr>
          <w:rStyle w:val="Character4"/>
          <w:sz w:val="24"/>
          <w:szCs w:val="24"/>
        </w:rPr>
        <w:t xml:space="preserve">to screening (OR=20.0, p≤0.05, C.I.7.0-56.2). Men with positive attitudinal disposition, were more likely willin to </w:t>
      </w:r>
      <w:r>
        <w:rPr>
          <w:rStyle w:val="Character4"/>
          <w:sz w:val="24"/>
          <w:szCs w:val="24"/>
        </w:rPr>
        <w:t xml:space="preserve">support screening (OR: 2.0, p≤0.05, C.I.=1.2-3.3). FGD’s reveal willingness of men to permit spouses would be </w:t>
      </w:r>
      <w:r>
        <w:rPr>
          <w:rStyle w:val="Character4"/>
          <w:sz w:val="24"/>
          <w:szCs w:val="24"/>
        </w:rPr>
        <w:t xml:space="preserve">based on their knowledge and affordability of screening. Hence, community-based health education is </w:t>
      </w:r>
      <w:r>
        <w:rPr>
          <w:rStyle w:val="Character4"/>
          <w:sz w:val="24"/>
          <w:szCs w:val="24"/>
        </w:rPr>
        <w:t>recommended.</w:t>
      </w:r>
    </w:p>
    <w:p>
      <w:pPr>
        <w:pStyle w:val="Para3"/>
        <w:spacing w:line="240" w:lineRule="auto"/>
        <w:ind w:right="-360" w:firstLine="0"/>
        <w:rPr>
          <w:b/>
          <w:sz w:val="24"/>
          <w:szCs w:val="24"/>
        </w:rPr>
      </w:pPr>
      <w:r>
        <w:rPr>
          <w:rStyle w:val="Character2"/>
          <w:sz w:val="24"/>
          <w:szCs w:val="24"/>
        </w:rPr>
        <w:t/>
      </w:r>
    </w:p>
    <w:p>
      <w:pPr>
        <w:pStyle w:val="Para3"/>
        <w:spacing w:line="240" w:lineRule="auto"/>
        <w:ind w:right="-360" w:firstLine="0"/>
        <w:rPr>
          <w:sz w:val="24"/>
          <w:szCs w:val="24"/>
        </w:rPr>
      </w:pPr>
      <w:r>
        <w:rPr>
          <w:rStyle w:val="Character2"/>
          <w:sz w:val="24"/>
          <w:szCs w:val="24"/>
        </w:rPr>
        <w:t>Keyword</w:t>
      </w:r>
      <w:r>
        <w:rPr>
          <w:rStyle w:val="Character4"/>
          <w:sz w:val="24"/>
          <w:szCs w:val="24"/>
        </w:rPr>
        <w:t xml:space="preserve">:    Men’s attitudinal disposition</w:t>
      </w:r>
    </w:p>
    <w:p>
      <w:pPr>
        <w:pStyle w:val="Para4"/>
        <w:spacing w:line="240" w:lineRule="auto"/>
        <w:ind w:left="0"/>
        <w:rPr>
          <w:sz w:val="24"/>
          <w:szCs w:val="24"/>
        </w:rPr>
      </w:pPr>
      <w:r>
        <w:rPr>
          <w:rStyle w:val="Character4"/>
          <w:sz w:val="24"/>
          <w:szCs w:val="24"/>
        </w:rPr>
        <w:t/>
      </w:r>
    </w:p>
    <w:p>
      <w:pPr>
        <w:pStyle w:val="Para4"/>
        <w:spacing w:line="240" w:lineRule="auto"/>
        <w:ind w:left="0"/>
        <w:rPr>
          <w:b/>
          <w:sz w:val="24"/>
          <w:szCs w:val="24"/>
        </w:rPr>
      </w:pPr>
      <w:r>
        <w:rPr>
          <w:rStyle w:val="Character2"/>
          <w:sz w:val="24"/>
          <w:szCs w:val="24"/>
        </w:rPr>
        <w:t>Biography</w:t>
      </w:r>
    </w:p>
    <w:p>
      <w:pPr>
        <w:pStyle w:val="Para4"/>
        <w:spacing w:line="240" w:lineRule="auto"/>
        <w:ind w:left="0"/>
        <w:rPr>
          <w:sz w:val="24"/>
          <w:szCs w:val="24"/>
        </w:rPr>
      </w:pPr>
      <w:r>
        <w:rPr>
          <w:rStyle w:val="Character4"/>
          <w:sz w:val="24"/>
          <w:szCs w:val="24"/>
        </w:rPr>
        <w:t xml:space="preserve">Awele Chukwuedo O. is a Public Health Specialist, Researcher and Community development expert. She </w:t>
      </w:r>
      <w:r>
        <w:rPr>
          <w:rStyle w:val="Character4"/>
          <w:sz w:val="24"/>
          <w:szCs w:val="24"/>
        </w:rPr>
        <w:t xml:space="preserve">obtained her higher education from Lagos state, Delta State University, and postgraduate (Msc/Mphil) studies </w:t>
      </w:r>
      <w:r>
        <w:rPr>
          <w:rStyle w:val="Character4"/>
          <w:sz w:val="24"/>
          <w:szCs w:val="24"/>
        </w:rPr>
        <w:t xml:space="preserve">from College of Medicine, University of Ibadan, Awele works with Life touch Africa a non-governmental </w:t>
      </w:r>
      <w:r>
        <w:rPr>
          <w:rStyle w:val="Character4"/>
          <w:sz w:val="24"/>
          <w:szCs w:val="24"/>
        </w:rPr>
        <w:t xml:space="preserve">organization in Nigeria.</w:t>
      </w:r>
    </w:p>
    <w:p>
      <w:pPr>
        <w:pStyle w:val="Para5"/>
        <w:spacing w:line="240" w:lineRule="auto"/>
        <w:ind w:left="0"/>
        <w:rPr>
          <w:b/>
          <w:sz w:val="24"/>
          <w:szCs w:val="24"/>
        </w:rPr>
      </w:pPr>
      <w:r>
        <w:rPr>
          <w:rStyle w:val="Character2"/>
          <w:sz w:val="24"/>
          <w:szCs w:val="24"/>
        </w:rPr>
        <w:t/>
      </w:r>
    </w:p>
    <w:p>
      <w:pPr>
        <w:pStyle w:val="Para5"/>
        <w:spacing w:line="240" w:lineRule="auto"/>
        <w:ind w:left="0"/>
        <w:rPr>
          <w:sz w:val="24"/>
          <w:szCs w:val="24"/>
        </w:rPr>
      </w:pPr>
      <w:r>
        <w:rPr>
          <w:rStyle w:val="Character2"/>
          <w:sz w:val="24"/>
          <w:szCs w:val="24"/>
        </w:rPr>
        <w:t xml:space="preserve">Presenting author details </w:t>
      </w:r>
      <w:r>
        <w:rPr>
          <w:rStyle w:val="Character2"/>
          <w:sz w:val="24"/>
          <w:szCs w:val="24"/>
        </w:rPr>
        <w:br/>
      </w:r>
      <w:r>
        <w:rPr>
          <w:rStyle w:val="Character4"/>
          <w:sz w:val="24"/>
          <w:szCs w:val="24"/>
        </w:rPr>
        <w:t xml:space="preserve">Full name: Awele Chukwuedo O.</w:t>
      </w:r>
    </w:p>
    <w:p>
      <w:pPr>
        <w:pStyle w:val="Para5"/>
        <w:spacing w:line="240" w:lineRule="auto"/>
        <w:ind w:left="0"/>
        <w:rPr>
          <w:sz w:val="24"/>
          <w:szCs w:val="24"/>
        </w:rPr>
      </w:pPr>
      <w:r>
        <w:rPr>
          <w:rStyle w:val="Character4"/>
          <w:sz w:val="24"/>
          <w:szCs w:val="24"/>
        </w:rPr>
        <w:t xml:space="preserve">Contact number:+234-8034965102</w:t>
      </w:r>
      <w:r>
        <w:rPr>
          <w:rStyle w:val="Character4"/>
          <w:sz w:val="24"/>
          <w:szCs w:val="24"/>
        </w:rPr>
        <w:br/>
      </w:r>
      <w:r>
        <w:rPr>
          <w:rStyle w:val="Character4"/>
          <w:sz w:val="24"/>
          <w:szCs w:val="24"/>
        </w:rPr>
        <w:t/>
      </w:r>
    </w:p>
    <w:p>
      <w:pPr>
        <w:pStyle w:val="Para5"/>
        <w:spacing w:line="240" w:lineRule="auto"/>
        <w:ind w:left="0"/>
        <w:rPr>
          <w:sz w:val="28"/>
          <w:szCs w:val="28"/>
        </w:rPr>
      </w:pPr>
      <w:r>
        <w:rPr>
          <w:rStyle w:val="Character9"/>
          <w:sz w:val="28"/>
          <w:szCs w:val="28"/>
        </w:rPr>
        <w:t xml:space="preserve">Category: Oral presentation)</w:t>
      </w:r>
      <w:r>
        <w:rPr>
          <w:rStyle w:val="Character9"/>
          <w:sz w:val="28"/>
          <w:szCs w:val="28"/>
        </w:rPr>
        <w:br/>
      </w:r>
      <w:r>
        <w:rPr>
          <w:rStyle w:val="Character9"/>
          <w:sz w:val="28"/>
          <w:szCs w:val="28"/>
        </w:rPr>
        <w:t/>
      </w:r>
    </w:p>
    <w:sectPr>
      <w:pgSz w:w="12240" w:h="15840" w:orient="landscape" w:code="9"/>
      <w:pgMar w:top="1080" w:right="630" w:bottom="1440" w:left="900" w:header="851" w:footer="992" w:gutter="0"/>
      <w:docGrid w:linePitch="360" w:charSpace="20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F0502020204030204"/>
    <w:charset w:val="0"/>
    <w:family w:val="mordern"/>
    <w:pitch w:val="variable"/>
    <w:sig w:usb0="A00002EF" w:usb1="4000207B" w:usb2="00000000" w:usb3="00000000" w:csb0="0000009F" w:csb1="00000000"/>
  </w:font>
  <w:font w:name="Symbol">
    <w:panose1 w:val="020F0502020204030204"/>
    <w:charset w:val="2"/>
    <w:family w:val="mordern"/>
    <w:pitch w:val="variable"/>
    <w:sig w:usb0="A00002EF" w:usb1="4000207B" w:usb2="00000000" w:usb3="00000000" w:csb0="0000009F" w:csb1="00000000"/>
  </w:font>
  <w:font w:name="Courier New">
    <w:panose1 w:val="020F0502020204030204"/>
    <w:charset w:val="0"/>
    <w:family w:val="mordern"/>
    <w:pitch w:val="variable"/>
    <w:sig w:usb0="A00002EF" w:usb1="4000207B" w:usb2="00000000" w:usb3="00000000" w:csb0="0000009F" w:csb1="00000000"/>
  </w:font>
  <w:font w:name="Wingdings">
    <w:panose1 w:val="020F0502020204030204"/>
    <w:charset w:val="2"/>
    <w:family w:val="mordern"/>
    <w:pitch w:val="variable"/>
    <w:sig w:usb0="A00002EF" w:usb1="4000207B" w:usb2="00000000" w:usb3="00000000" w:csb0="0000009F" w:csb1="00000000"/>
  </w:font>
  <w:font w:name="Calibri">
    <w:panose1 w:val="020F0502020204030204"/>
    <w:charset w:val="0"/>
    <w:family w:val="mordern"/>
    <w:pitch w:val="variable"/>
    <w:sig w:usb0="A00002EF" w:usb1="4000207B" w:usb2="00000000" w:usb3="00000000" w:csb0="0000009F" w:csb1="00000000"/>
  </w:font>
  <w:font w:name="Tahoma">
    <w:panose1 w:val="020F0502020204030204"/>
    <w:charset w:val="0"/>
    <w:family w:val="mordern"/>
    <w:pitch w:val="variable"/>
    <w:sig w:usb0="A00002EF" w:usb1="4000207B" w:usb2="00000000" w:usb3="00000000" w:csb0="0000009F" w:csb1="00000000"/>
  </w:font>
  <w:font w:name="Cambria">
    <w:panose1 w:val="020F0502020204030204"/>
    <w:charset w:val="0"/>
    <w:family w:val="mordern"/>
    <w:pitch w:val="variable"/>
    <w:sig w:usb0="A00002EF" w:usb1="4000207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noPunctuationKerning/>
  <w:characterSpacingControl w:val="doNotCompress"/>
  <w:bordersDoNotSurroundHeader/>
  <w:bordersDoNotSurroundFooter/>
  <w:compat>
    <w:useFELayout/>
  </w:compat>
  <m:mathPr>
    <m:mathFont m:value="Cambria Math"/>
    <m:brkBin m:value="before"/>
    <m:brkBinSub m:value="--"/>
    <m:smallFrac m:value="off"/>
    <m:dispDef/>
    <m:lMargin m:value="0"/>
    <m:rMargin m:value="0"/>
    <m:defJc m:value="centerGroup"/>
    <m:wrapIndent m:value="1440"/>
    <m:intLim m:value="subSup"/>
    <m:naryLim m:value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pPrDefault>
      <w:pPr/>
    </w:pPrDefault>
    <w:rPrDefault>
      <w:rPr>
        <w:rFonts w:ascii="Times New Roman" w:hAnsi="Times New Roman" w:eastAsia="바탕" w:cs="Times New Roman"/>
      </w:rPr>
    </w:rPrDefault>
  </w:docDefaults>
  <w:style w:type="paragraph" w:styleId="a" w:default="1">
    <w:name w:val="Normal"/>
    <w:pPr>
      <w:autoSpaceDE w:val="off"/>
      <w:autoSpaceDN w:val="off"/>
      <w:jc w:val="both"/>
      <w:widowControl w:val="off"/>
      <w:wordWrap w:val="off"/>
    </w:pPr>
    <w:rPr>
      <w:kern w:val="2"/>
      <w:lang w:val="en-US" w:eastAsia="ko-KR" w:bidi="ar-SA"/>
      <w:rFonts w:ascii="바탕" w:eastAsia="바탕"/>
    </w:rPr>
  </w:style>
  <w:style w:type="character" w:styleId="a0" w:default="1">
    <w:name w:val="Default Paragraph Font"/>
    <w:rPr/>
  </w:style>
  <w:style w:type="table" w:styleId="a1" w:default="1">
    <w:name w:val="Default Table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styleId="a2" w:default="1">
    <w:name w:val="No List"/>
    <w:uiPriority w:val="99"/>
    <w:semiHidden/>
    <w:unhideWhenUsed/>
  </w:style>
  <w:style w:type="paragraph" w:customStyle="1" w:styleId="Para0">
    <w:name w:val="ParaAttribute0"/>
    <w:pPr>
      <w:jc w:val="right"/>
      <w:wordWrap w:val="false"/>
      <w:ind w:left="-810" w:right="-360" w:firstLine="360"/>
      <w:widowControl w:val="false"/>
      <w:tabs>
        <w:tab w:val="left" w:pos="9990"/>
      </w:tabs>
      <w:rPr/>
    </w:pPr>
  </w:style>
  <w:style w:type="paragraph" w:customStyle="1" w:styleId="Para1">
    <w:name w:val="ParaAttribute1"/>
    <w:pPr>
      <w:jc w:val="center"/>
      <w:wordWrap w:val="false"/>
      <w:ind w:left="-810" w:right="-360" w:firstLine="360"/>
      <w:widowControl w:val="false"/>
      <w:tabs>
        <w:tab w:val="left" w:pos="9990"/>
      </w:tabs>
      <w:rPr/>
    </w:pPr>
  </w:style>
  <w:style w:type="paragraph" w:customStyle="1" w:styleId="Para2">
    <w:name w:val="ParaAttribute2"/>
    <w:pPr>
      <w:jc w:val="center"/>
      <w:wordWrap w:val="false"/>
      <w:ind w:right="-360" w:firstLine="0"/>
      <w:widowControl w:val="false"/>
      <w:rPr/>
    </w:pPr>
  </w:style>
  <w:style w:type="paragraph" w:customStyle="1" w:styleId="Para3">
    <w:name w:val="ParaAttribute3"/>
    <w:pPr>
      <w:jc w:val="both"/>
      <w:wordWrap w:val="false"/>
      <w:ind w:right="-360" w:firstLine="0"/>
      <w:widowControl w:val="false"/>
      <w:rPr/>
    </w:pPr>
  </w:style>
  <w:style w:type="paragraph" w:customStyle="1" w:styleId="Para4">
    <w:name w:val="ParaAttribute4"/>
    <w:pPr>
      <w:jc w:val="both"/>
      <w:wordWrap w:val="false"/>
      <w:ind w:left="0"/>
      <w:widowControl w:val="false"/>
      <w:rPr/>
    </w:pPr>
  </w:style>
  <w:style w:type="paragraph" w:customStyle="1" w:styleId="Para5">
    <w:name w:val="ParaAttribute5"/>
    <w:pPr>
      <w:jc w:val="left"/>
      <w:wordWrap w:val="false"/>
      <w:ind w:left="0"/>
      <w:widowControl w:val="false"/>
      <w:rPr/>
    </w:pPr>
  </w:style>
  <w:style w:type="character" w:customStyle="1" w:styleId="Character0">
    <w:name w:val="CharAttribute0"/>
    <w:rPr>
      <w:rFonts w:ascii="Times New Roman" w:eastAsia="Times New Roman"/>
      <w:b/>
      <w:sz w:val="22"/>
    </w:rPr>
  </w:style>
  <w:style w:type="character" w:customStyle="1" w:styleId="Character1">
    <w:name w:val="CharAttribute1"/>
    <w:rPr>
      <w:rFonts w:ascii="Times New Roman" w:eastAsia="Times New Roman"/>
      <w:b/>
      <w:sz w:val="22"/>
    </w:rPr>
  </w:style>
  <w:style w:type="character" w:customStyle="1" w:styleId="Character2">
    <w:name w:val="CharAttribute2"/>
    <w:rPr>
      <w:rFonts w:ascii="Times New Roman" w:eastAsia="Times New Roman"/>
      <w:b/>
      <w:sz w:val="24"/>
    </w:rPr>
  </w:style>
  <w:style w:type="character" w:customStyle="1" w:styleId="Character3">
    <w:name w:val="CharAttribute3"/>
    <w:rPr>
      <w:rFonts w:ascii="Times New Roman" w:eastAsia="Times New Roman"/>
      <w:i/>
      <w:sz w:val="24"/>
    </w:rPr>
  </w:style>
  <w:style w:type="character" w:customStyle="1" w:styleId="Character4">
    <w:name w:val="CharAttribute4"/>
    <w:rPr>
      <w:rFonts w:ascii="Times New Roman" w:eastAsia="Times New Roman"/>
      <w:sz w:val="24"/>
    </w:rPr>
  </w:style>
  <w:style w:type="character" w:customStyle="1" w:styleId="Character5">
    <w:name w:val="CharAttribute5"/>
    <w:rPr>
      <w:rFonts w:ascii="Times New Roman" w:eastAsia="Times New Roman"/>
      <w:u w:val="single"/>
      <w:i/>
      <w:color w:val="0000FF"/>
      <w:sz w:val="24"/>
    </w:rPr>
  </w:style>
  <w:style w:type="character" w:customStyle="1" w:styleId="Character6">
    <w:name w:val="CharAttribute6"/>
    <w:rPr>
      <w:rFonts w:ascii="Times New Roman" w:eastAsia="Times New Roman"/>
    </w:rPr>
  </w:style>
  <w:style w:type="character" w:customStyle="1" w:styleId="Character7">
    <w:name w:val="CharAttribute7"/>
    <w:rPr>
      <w:rFonts w:ascii="Times New Roman" w:eastAsia="Times New Roman"/>
      <w:u w:val="single"/>
      <w:i/>
      <w:color w:val="0000FF"/>
      <w:sz w:val="24"/>
    </w:rPr>
  </w:style>
  <w:style w:type="character" w:customStyle="1" w:styleId="Character8">
    <w:name w:val="CharAttribute8"/>
    <w:rPr>
      <w:rFonts w:ascii="Times New Roman" w:eastAsia="Times New Roman"/>
      <w:i/>
      <w:sz w:val="24"/>
    </w:rPr>
  </w:style>
  <w:style w:type="character" w:customStyle="1" w:styleId="Character9">
    <w:name w:val="CharAttribute9"/>
    <w:rPr>
      <w:rFonts w:ascii="Times New Roman" w:eastAsia="Times New Roman"/>
      <w:sz w:val="2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?>
<Relationships xmlns="http://schemas.openxmlformats.org/package/2006/relationships"><Relationship Id="rId1" Type="http://schemas.openxmlformats.org/officeDocument/2006/relationships/webSettings" Target="webSettings.xml"></Relationship><Relationship Id="rId2" Type="http://schemas.openxmlformats.org/officeDocument/2006/relationships/fontTable" Target="fontTable.xml"></Relationship><Relationship Id="rId3" Type="http://schemas.openxmlformats.org/officeDocument/2006/relationships/settings" Target="settings.xml"></Relationship><Relationship Id="rId4" Type="http://schemas.openxmlformats.org/officeDocument/2006/relationships/styles" Target="styles.xml"></Relationship><Relationship Id="rId5" Type="http://schemas.openxmlformats.org/officeDocument/2006/relationships/image" Target="media/image1.jpeg"></Relationship><Relationship Id="rId6" Type="http://schemas.openxmlformats.org/officeDocument/2006/relationships/hyperlink" Target="mailto:c.awele@yahoo.com" TargetMode="External"></Relationship><Relationship Id="rId7" Type="http://schemas.openxmlformats.org/officeDocument/2006/relationships/theme" Target="theme/theme1.xml"></Relationship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맑은 고딕"/>
        <a:ea typeface=""/>
        <a:cs typeface=""/>
        <a:font script="Jpan" typeface="ＭＳ Ｐゴシック"/>
        <a:font script="Hang" typeface="맑은 고딕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맑은 고딕"/>
        <a:ea typeface=""/>
        <a:cs typeface=""/>
        <a:font script="Jpan" typeface="ＭＳ Ｐゴシック"/>
        <a:font script="Hang" typeface="맑은 고딕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Pages>1</Pages>
  <Words>0</Words>
  <Characters>0</Characters>
  <Lines>1</Lines>
  <Paragraphs>1</Paragraphs>
  <TotalTime>0</TotalTime>
  <MMClips>0</MMClip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>Title text</vt:lpstr>
    </vt:vector>
  </TitlesOfParts>
  <Company>INFRAWARE, Inc.</Company>
  <LinksUpToDate>false</LinksUpToDate>
  <CharactersWithSpaces>0</CharactersWithSpaces>
  <SharedDoc>false</SharedDoc>
  <HyperlinksChanged>false</HyperlinksChanged>
  <Application>Polaris Office</Application>
  <AppVersion>12.0000</AppVers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docx</dc:title>
  <dc:creator>User</dc:creator>
  <cp:revision>2</cp:revision>
  <dcterms:created xsi:type="dcterms:W3CDTF">2010-06-21T07:17:39Z</dcterms:created>
  <dcterms:modified xsi:type="dcterms:W3CDTF">2010-06-21T07:17:39Z</dcterms:modified>
  <cp:version>1</cp:version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