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header1.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Normal.0"/>
        <w:jc w:val="center"/>
        <w:rPr>
          <w:rFonts w:ascii="Arial" w:cs="Arial" w:hAnsi="Arial" w:eastAsia="Arial"/>
        </w:rPr>
      </w:pPr>
      <w:r>
        <w:rPr>
          <w:rFonts w:ascii="Arial" w:hAnsi="Arial"/>
          <w:b w:val="1"/>
          <w:bCs w:val="1"/>
          <w:rtl w:val="0"/>
          <w:lang w:val="it-IT"/>
        </w:rPr>
        <w:t xml:space="preserve">                                                                         </w:t>
      </w:r>
      <w:r>
        <w:rPr>
          <w:rFonts w:ascii="Arial" w:cs="Arial" w:hAnsi="Arial" w:eastAsia="Arial"/>
          <w:lang w:val="en-US"/>
        </w:rPr>
        <w:drawing>
          <wp:inline distT="0" distB="0" distL="0" distR="0">
            <wp:extent cx="2877512" cy="2447553"/>
            <wp:effectExtent l="0" t="0" r="0" b="0"/>
            <wp:docPr id="1073741825" name="officeArt object" descr="novitski2"/>
            <wp:cNvGraphicFramePr/>
            <a:graphic xmlns:a="http://schemas.openxmlformats.org/drawingml/2006/main">
              <a:graphicData uri="http://schemas.openxmlformats.org/drawingml/2006/picture">
                <pic:pic xmlns:pic="http://schemas.openxmlformats.org/drawingml/2006/picture">
                  <pic:nvPicPr>
                    <pic:cNvPr id="1073741825" name="novitski2" descr="novitski2"/>
                    <pic:cNvPicPr>
                      <a:picLocks noChangeAspect="1"/>
                    </pic:cNvPicPr>
                  </pic:nvPicPr>
                  <pic:blipFill>
                    <a:blip r:embed="rId4">
                      <a:extLst/>
                    </a:blip>
                    <a:stretch>
                      <a:fillRect/>
                    </a:stretch>
                  </pic:blipFill>
                  <pic:spPr>
                    <a:xfrm>
                      <a:off x="0" y="0"/>
                      <a:ext cx="2877512" cy="2447553"/>
                    </a:xfrm>
                    <a:prstGeom prst="rect">
                      <a:avLst/>
                    </a:prstGeom>
                    <a:ln w="12700" cap="flat">
                      <a:noFill/>
                      <a:miter lim="400000"/>
                    </a:ln>
                    <a:effectLst/>
                  </pic:spPr>
                </pic:pic>
              </a:graphicData>
            </a:graphic>
          </wp:inline>
        </w:drawing>
      </w:r>
    </w:p>
    <w:p>
      <w:pPr>
        <w:pStyle w:val="Default"/>
        <w:rPr>
          <w:rFonts w:ascii="Arial" w:cs="Arial" w:hAnsi="Arial" w:eastAsia="Arial"/>
          <w:color w:val="323232"/>
          <w:sz w:val="24"/>
          <w:szCs w:val="24"/>
          <w:u w:color="323232"/>
        </w:rPr>
      </w:pPr>
    </w:p>
    <w:p>
      <w:pPr>
        <w:pStyle w:val="Default"/>
        <w:jc w:val="center"/>
        <w:rPr>
          <w:rFonts w:ascii="Arial" w:cs="Arial" w:hAnsi="Arial" w:eastAsia="Arial"/>
          <w:b w:val="1"/>
          <w:bCs w:val="1"/>
          <w:color w:val="4473a3"/>
          <w:sz w:val="28"/>
          <w:szCs w:val="28"/>
          <w:u w:color="4473a3"/>
        </w:rPr>
      </w:pPr>
      <w:r>
        <w:rPr>
          <w:rFonts w:ascii="Arial" w:hAnsi="Arial"/>
          <w:b w:val="1"/>
          <w:bCs w:val="1"/>
          <w:color w:val="4473a3"/>
          <w:sz w:val="28"/>
          <w:szCs w:val="28"/>
          <w:u w:color="4473a3"/>
          <w:rtl w:val="0"/>
          <w:lang w:val="en-US"/>
        </w:rPr>
        <w:t xml:space="preserve">The anti-cancer preparation NSC-631570 (UKRAIN) and </w:t>
      </w:r>
    </w:p>
    <w:p>
      <w:pPr>
        <w:pStyle w:val="Default"/>
        <w:jc w:val="center"/>
        <w:rPr>
          <w:rFonts w:ascii="Arial" w:cs="Arial" w:hAnsi="Arial" w:eastAsia="Arial"/>
          <w:b w:val="1"/>
          <w:bCs w:val="1"/>
          <w:color w:val="4473a3"/>
          <w:sz w:val="28"/>
          <w:szCs w:val="28"/>
          <w:u w:color="4473a3"/>
        </w:rPr>
      </w:pPr>
      <w:r>
        <w:rPr>
          <w:rFonts w:ascii="Arial" w:hAnsi="Arial"/>
          <w:b w:val="1"/>
          <w:bCs w:val="1"/>
          <w:color w:val="4473a3"/>
          <w:sz w:val="28"/>
          <w:szCs w:val="28"/>
          <w:u w:color="4473a3"/>
          <w:rtl w:val="0"/>
          <w:lang w:val="en-US"/>
        </w:rPr>
        <w:t>its r</w:t>
      </w:r>
      <w:r>
        <w:rPr>
          <w:rFonts w:ascii="Arial" w:hAnsi="Arial"/>
          <w:b w:val="1"/>
          <w:bCs w:val="1"/>
          <w:color w:val="4473a3"/>
          <w:sz w:val="28"/>
          <w:szCs w:val="28"/>
          <w:u w:color="4473a3"/>
          <w:rtl w:val="0"/>
          <w:lang w:val="fr-FR"/>
        </w:rPr>
        <w:t>adioprotective effect</w:t>
      </w:r>
    </w:p>
    <w:p>
      <w:pPr>
        <w:pStyle w:val="Default"/>
        <w:rPr>
          <w:rFonts w:ascii="Arial" w:cs="Arial" w:hAnsi="Arial" w:eastAsia="Arial"/>
          <w:color w:val="4473a3"/>
          <w:sz w:val="24"/>
          <w:szCs w:val="24"/>
          <w:u w:color="4473a3"/>
        </w:rPr>
      </w:pPr>
    </w:p>
    <w:p>
      <w:pPr>
        <w:pStyle w:val="Normal.0"/>
        <w:jc w:val="center"/>
        <w:rPr>
          <w:rFonts w:ascii="Arial" w:cs="Arial" w:hAnsi="Arial" w:eastAsia="Arial"/>
        </w:rPr>
      </w:pPr>
      <w:r>
        <w:rPr>
          <w:rFonts w:ascii="Arial" w:hAnsi="Arial"/>
          <w:rtl w:val="0"/>
          <w:lang w:val="it-IT"/>
        </w:rPr>
        <w:t xml:space="preserve">Name: Dr. </w:t>
      </w:r>
      <w:r>
        <w:rPr>
          <w:rFonts w:ascii="Arial" w:hAnsi="Arial"/>
          <w:rtl w:val="0"/>
          <w:lang w:val="en-US"/>
        </w:rPr>
        <w:t>T</w:t>
      </w:r>
      <w:r>
        <w:rPr>
          <w:rFonts w:ascii="Arial" w:hAnsi="Arial"/>
          <w:rtl w:val="0"/>
          <w:lang w:val="it-IT"/>
        </w:rPr>
        <w:t>echn.</w:t>
      </w:r>
      <w:r>
        <w:rPr>
          <w:rFonts w:ascii="Arial" w:hAnsi="Arial"/>
          <w:rtl w:val="0"/>
          <w:lang w:val="en-US"/>
        </w:rPr>
        <w:t xml:space="preserve"> </w:t>
      </w:r>
      <w:r>
        <w:rPr>
          <w:rFonts w:ascii="Arial" w:hAnsi="Arial"/>
          <w:rtl w:val="0"/>
          <w:lang w:val="it-IT"/>
        </w:rPr>
        <w:t>Wassil Nowicky</w:t>
      </w:r>
      <w:r>
        <w:rPr>
          <w:rFonts w:ascii="Arial Unicode MS" w:cs="Arial Unicode MS" w:hAnsi="Arial Unicode MS" w:eastAsia="Arial Unicode MS"/>
          <w:lang w:val="it-IT"/>
        </w:rPr>
        <w:br w:type="textWrapping"/>
      </w:r>
    </w:p>
    <w:p>
      <w:pPr>
        <w:pStyle w:val="Normal.0"/>
        <w:jc w:val="center"/>
        <w:rPr>
          <w:rFonts w:ascii="Arial" w:cs="Arial" w:hAnsi="Arial" w:eastAsia="Arial"/>
          <w:i w:val="1"/>
          <w:iCs w:val="1"/>
        </w:rPr>
      </w:pPr>
      <w:r>
        <w:rPr>
          <w:rFonts w:ascii="Arial" w:hAnsi="Arial" w:hint="default"/>
          <w:i w:val="1"/>
          <w:iCs w:val="1"/>
          <w:rtl w:val="0"/>
          <w:lang w:val="it-IT"/>
        </w:rPr>
        <w:t>“</w:t>
      </w:r>
      <w:r>
        <w:rPr>
          <w:rFonts w:ascii="Arial" w:hAnsi="Arial"/>
          <w:i w:val="1"/>
          <w:iCs w:val="1"/>
          <w:rtl w:val="0"/>
          <w:lang w:val="it-IT"/>
        </w:rPr>
        <w:t>Nowicky Pharma</w:t>
      </w:r>
      <w:r>
        <w:rPr>
          <w:rFonts w:ascii="Arial" w:hAnsi="Arial" w:hint="default"/>
          <w:i w:val="1"/>
          <w:iCs w:val="1"/>
          <w:rtl w:val="0"/>
          <w:lang w:val="it-IT"/>
        </w:rPr>
        <w:t>”</w:t>
      </w:r>
      <w:r>
        <w:rPr>
          <w:rFonts w:ascii="Arial" w:hAnsi="Arial"/>
          <w:i w:val="1"/>
          <w:iCs w:val="1"/>
          <w:rtl w:val="0"/>
          <w:lang w:val="it-IT"/>
        </w:rPr>
        <w:t>/ Ukrainian Anti-Cancer Institute,</w:t>
      </w:r>
      <w:r>
        <w:rPr>
          <w:rFonts w:ascii="Arial" w:hAnsi="Arial"/>
          <w:i w:val="1"/>
          <w:iCs w:val="1"/>
          <w:rtl w:val="0"/>
          <w:lang w:val="en-US"/>
        </w:rPr>
        <w:t xml:space="preserve"> </w:t>
      </w:r>
    </w:p>
    <w:p>
      <w:pPr>
        <w:pStyle w:val="Normal.0"/>
        <w:jc w:val="center"/>
        <w:rPr>
          <w:rFonts w:ascii="Arial" w:cs="Arial" w:hAnsi="Arial" w:eastAsia="Arial"/>
        </w:rPr>
      </w:pPr>
      <w:r>
        <w:rPr>
          <w:rFonts w:ascii="Arial" w:hAnsi="Arial"/>
          <w:i w:val="1"/>
          <w:iCs w:val="1"/>
          <w:rtl w:val="0"/>
          <w:lang w:val="en-US"/>
        </w:rPr>
        <w:t xml:space="preserve">Margareten Street 7, A-1040, </w:t>
      </w:r>
      <w:r>
        <w:rPr>
          <w:rFonts w:ascii="Arial" w:hAnsi="Arial"/>
          <w:i w:val="1"/>
          <w:iCs w:val="1"/>
          <w:rtl w:val="0"/>
          <w:lang w:val="it-IT"/>
        </w:rPr>
        <w:t>Vienna, Austria</w:t>
      </w:r>
    </w:p>
    <w:p>
      <w:pPr>
        <w:pStyle w:val="Default"/>
        <w:rPr>
          <w:rFonts w:ascii="Arial" w:cs="Arial" w:hAnsi="Arial" w:eastAsia="Arial"/>
          <w:color w:val="4473a3"/>
          <w:sz w:val="24"/>
          <w:szCs w:val="24"/>
          <w:u w:color="4473a3"/>
        </w:rPr>
      </w:pPr>
    </w:p>
    <w:p>
      <w:pPr>
        <w:pStyle w:val="Default"/>
        <w:rPr>
          <w:rFonts w:ascii="Arial" w:cs="Arial" w:hAnsi="Arial" w:eastAsia="Arial"/>
          <w:sz w:val="24"/>
          <w:szCs w:val="24"/>
        </w:rPr>
      </w:pPr>
      <w:r>
        <w:rPr>
          <w:rFonts w:ascii="Arial" w:cs="Arial" w:hAnsi="Arial" w:eastAsia="Arial"/>
          <w:sz w:val="24"/>
          <w:szCs w:val="24"/>
          <w:rtl w:val="0"/>
        </w:rPr>
        <w:tab/>
        <w:t>When NSC-631570 has been used in clinic, it was observed that the patients treated with this drug tolerate the concomitant radiotherapy much better. The adverse effects of this aggressive treatment modality were significantly reduced to minimal. This gave reason to study radioprotective properties of NSC</w:t>
      </w:r>
      <w:r>
        <w:rPr>
          <w:rFonts w:ascii="Arial Unicode MS" w:hAnsi="Arial Unicode MS" w:hint="default"/>
          <w:sz w:val="24"/>
          <w:szCs w:val="24"/>
          <w:rtl w:val="0"/>
          <w:lang w:val="en-US"/>
        </w:rPr>
        <w:t>‐</w:t>
      </w:r>
      <w:r>
        <w:rPr>
          <w:rFonts w:ascii="Arial" w:hAnsi="Arial"/>
          <w:sz w:val="24"/>
          <w:szCs w:val="24"/>
          <w:rtl w:val="0"/>
          <w:lang w:val="en-US"/>
        </w:rPr>
        <w:t>631570 in the in vitro and in vivo tests.</w:t>
      </w:r>
    </w:p>
    <w:p>
      <w:pPr>
        <w:pStyle w:val="Default"/>
        <w:rPr>
          <w:rStyle w:val="None"/>
          <w:rFonts w:ascii="Arial" w:cs="Arial" w:hAnsi="Arial" w:eastAsia="Arial"/>
          <w:sz w:val="24"/>
          <w:szCs w:val="24"/>
        </w:rPr>
      </w:pPr>
      <w:r>
        <w:rPr>
          <w:rFonts w:ascii="Arial" w:cs="Arial" w:hAnsi="Arial" w:eastAsia="Arial"/>
          <w:sz w:val="24"/>
          <w:szCs w:val="24"/>
          <w:rtl w:val="0"/>
        </w:rPr>
        <w:tab/>
        <w:t>It was proven the radioprotective effect of NSC</w:t>
      </w:r>
      <w:r>
        <w:rPr>
          <w:rFonts w:ascii="Arial Unicode MS" w:hAnsi="Arial Unicode MS" w:hint="default"/>
          <w:sz w:val="24"/>
          <w:szCs w:val="24"/>
          <w:rtl w:val="0"/>
          <w:lang w:val="en-US"/>
        </w:rPr>
        <w:t>‐</w:t>
      </w:r>
      <w:r>
        <w:rPr>
          <w:rFonts w:ascii="Arial" w:hAnsi="Arial"/>
          <w:sz w:val="24"/>
          <w:szCs w:val="24"/>
          <w:rtl w:val="0"/>
          <w:lang w:val="en-US"/>
        </w:rPr>
        <w:t>631570 was far superior compared to such of its raw materials taken separately, both measured by survival of mice irradiated by different doses and by the protection coefficient. For example, at a dose of 5.25 Gy protection coefficient of NSC</w:t>
      </w:r>
      <w:r>
        <w:rPr>
          <w:rFonts w:ascii="Arial Unicode MS" w:hAnsi="Arial Unicode MS" w:hint="default"/>
          <w:sz w:val="24"/>
          <w:szCs w:val="24"/>
          <w:rtl w:val="0"/>
          <w:lang w:val="en-US"/>
        </w:rPr>
        <w:t>‐</w:t>
      </w:r>
      <w:r>
        <w:rPr>
          <w:rFonts w:ascii="Arial" w:hAnsi="Arial"/>
          <w:sz w:val="24"/>
          <w:szCs w:val="24"/>
          <w:rtl w:val="0"/>
          <w:lang w:val="en-US"/>
        </w:rPr>
        <w:t xml:space="preserve">631570 was 95.0 </w:t>
      </w:r>
      <w:r>
        <w:rPr>
          <w:rFonts w:ascii="Arial" w:hAnsi="Arial" w:hint="default"/>
          <w:sz w:val="24"/>
          <w:szCs w:val="24"/>
          <w:rtl w:val="0"/>
          <w:lang w:val="en-US"/>
        </w:rPr>
        <w:t xml:space="preserve">± </w:t>
      </w:r>
      <w:r>
        <w:rPr>
          <w:rFonts w:ascii="Arial" w:hAnsi="Arial"/>
          <w:sz w:val="24"/>
          <w:szCs w:val="24"/>
          <w:rtl w:val="0"/>
          <w:lang w:val="en-US"/>
        </w:rPr>
        <w:t xml:space="preserve">4.6 vs 50.8 </w:t>
      </w:r>
      <w:r>
        <w:rPr>
          <w:rFonts w:ascii="Arial" w:hAnsi="Arial" w:hint="default"/>
          <w:sz w:val="24"/>
          <w:szCs w:val="24"/>
          <w:rtl w:val="0"/>
          <w:lang w:val="en-US"/>
        </w:rPr>
        <w:t xml:space="preserve">± </w:t>
      </w:r>
      <w:r>
        <w:rPr>
          <w:rFonts w:ascii="Arial" w:hAnsi="Arial"/>
          <w:sz w:val="24"/>
          <w:szCs w:val="24"/>
          <w:rtl w:val="0"/>
          <w:lang w:val="en-US"/>
        </w:rPr>
        <w:t xml:space="preserve">4.6 in the control. These observations suggested that the radio protective effect of Ukrain differs significantly from such of its raw materials </w:t>
      </w:r>
      <w:r>
        <w:rPr>
          <w:rFonts w:ascii="Arial" w:cs="Arial" w:hAnsi="Arial" w:eastAsia="Arial"/>
          <w:sz w:val="24"/>
          <w:szCs w:val="24"/>
          <w:vertAlign w:val="superscript"/>
        </w:rPr>
        <w:footnoteReference w:id="1"/>
      </w:r>
      <w:r>
        <w:rPr>
          <w:rStyle w:val="None"/>
          <w:rFonts w:ascii="Arial" w:hAnsi="Arial"/>
          <w:sz w:val="24"/>
          <w:szCs w:val="24"/>
          <w:rtl w:val="0"/>
          <w:lang w:val="en-US"/>
        </w:rPr>
        <w:t>.</w:t>
      </w:r>
    </w:p>
    <w:p>
      <w:pPr>
        <w:pStyle w:val="Default"/>
        <w:rPr>
          <w:rStyle w:val="None"/>
          <w:rFonts w:ascii="Arial" w:cs="Arial" w:hAnsi="Arial" w:eastAsia="Arial"/>
          <w:sz w:val="24"/>
          <w:szCs w:val="24"/>
        </w:rPr>
      </w:pPr>
      <w:r>
        <w:rPr>
          <w:rStyle w:val="None"/>
          <w:rFonts w:ascii="Arial" w:cs="Arial" w:hAnsi="Arial" w:eastAsia="Arial"/>
          <w:sz w:val="24"/>
          <w:szCs w:val="24"/>
          <w:lang w:val="en-US"/>
        </w:rPr>
        <w:tab/>
      </w:r>
      <w:r>
        <w:rPr>
          <w:rStyle w:val="None"/>
          <w:rFonts w:ascii="Arial" w:hAnsi="Arial"/>
          <w:sz w:val="24"/>
          <w:szCs w:val="24"/>
          <w:rtl w:val="0"/>
          <w:lang w:val="de-DE"/>
        </w:rPr>
        <w:t>NSC</w:t>
      </w:r>
      <w:r>
        <w:rPr>
          <w:rStyle w:val="None"/>
          <w:rFonts w:ascii="Arial Unicode MS" w:hAnsi="Arial Unicode MS" w:hint="default"/>
          <w:sz w:val="24"/>
          <w:szCs w:val="24"/>
          <w:rtl w:val="0"/>
          <w:lang w:val="en-US"/>
        </w:rPr>
        <w:t>‐</w:t>
      </w:r>
      <w:r>
        <w:rPr>
          <w:rStyle w:val="None"/>
          <w:rFonts w:ascii="Arial" w:hAnsi="Arial"/>
          <w:sz w:val="24"/>
          <w:szCs w:val="24"/>
          <w:rtl w:val="0"/>
          <w:lang w:val="en-US"/>
        </w:rPr>
        <w:t>631570 was effective in the therapy of recurring respiratory diseases in children from the Chernobyl area. A total of 38 children from areas radiation contaminated after the Chernobyl accident and suffering from recurrent respiratory diseases were included into the study. Ukrain was administered intravenously at a dose of 5 mg twice a week, up to a total dose of 35 mg. The control group received standard therapy. In the Ukrain treated group marked anti</w:t>
      </w:r>
      <w:r>
        <w:rPr>
          <w:rStyle w:val="None"/>
          <w:rFonts w:ascii="Arial Unicode MS" w:hAnsi="Arial Unicode MS" w:hint="default"/>
          <w:sz w:val="24"/>
          <w:szCs w:val="24"/>
          <w:rtl w:val="0"/>
          <w:lang w:val="en-US"/>
        </w:rPr>
        <w:t>‐</w:t>
      </w:r>
      <w:r>
        <w:rPr>
          <w:rStyle w:val="None"/>
          <w:rFonts w:ascii="Arial" w:hAnsi="Arial"/>
          <w:sz w:val="24"/>
          <w:szCs w:val="24"/>
          <w:rtl w:val="0"/>
          <w:lang w:val="en-US"/>
        </w:rPr>
        <w:t>inflammatory effects was revealed comparing to the control: normalisation of WBC count and blood sedimentation rate. The immune modulating effect of Ukrain was indicated through the improvement in specific humoral and cellular immunity: increased the IgG concentration, the phagocytic activity of neutrophils, the number of total lymphocytes, T</w:t>
      </w:r>
      <w:r>
        <w:rPr>
          <w:rStyle w:val="None"/>
          <w:rFonts w:ascii="Arial Unicode MS" w:hAnsi="Arial Unicode MS" w:hint="default"/>
          <w:sz w:val="24"/>
          <w:szCs w:val="24"/>
          <w:rtl w:val="0"/>
          <w:lang w:val="en-US"/>
        </w:rPr>
        <w:t>‐</w:t>
      </w:r>
      <w:r>
        <w:rPr>
          <w:rStyle w:val="None"/>
          <w:rFonts w:ascii="Arial" w:hAnsi="Arial"/>
          <w:sz w:val="24"/>
          <w:szCs w:val="24"/>
          <w:rtl w:val="0"/>
          <w:lang w:val="en-US"/>
        </w:rPr>
        <w:t>lymphocytes and T</w:t>
      </w:r>
      <w:r>
        <w:rPr>
          <w:rStyle w:val="None"/>
          <w:rFonts w:ascii="Arial Unicode MS" w:hAnsi="Arial Unicode MS" w:hint="default"/>
          <w:sz w:val="24"/>
          <w:szCs w:val="24"/>
          <w:rtl w:val="0"/>
          <w:lang w:val="en-US"/>
        </w:rPr>
        <w:t>‐</w:t>
      </w:r>
      <w:r>
        <w:rPr>
          <w:rStyle w:val="None"/>
          <w:rFonts w:ascii="Arial" w:hAnsi="Arial"/>
          <w:sz w:val="24"/>
          <w:szCs w:val="24"/>
          <w:rtl w:val="0"/>
          <w:lang w:val="en-US"/>
        </w:rPr>
        <w:t xml:space="preserve">helpers, and the helpers/suppressors ratio </w:t>
      </w:r>
      <w:r>
        <w:rPr>
          <w:rStyle w:val="None"/>
          <w:rFonts w:ascii="Arial" w:cs="Arial" w:hAnsi="Arial" w:eastAsia="Arial"/>
          <w:sz w:val="24"/>
          <w:szCs w:val="24"/>
          <w:vertAlign w:val="superscript"/>
          <w:lang w:val="en-US"/>
        </w:rPr>
        <w:footnoteReference w:id="2"/>
      </w:r>
      <w:r>
        <w:rPr>
          <w:rStyle w:val="None"/>
          <w:rFonts w:ascii="Arial" w:hAnsi="Arial"/>
          <w:sz w:val="24"/>
          <w:szCs w:val="24"/>
          <w:rtl w:val="0"/>
          <w:lang w:val="en-US"/>
        </w:rPr>
        <w:t>.</w:t>
      </w:r>
    </w:p>
    <w:p>
      <w:pPr>
        <w:pStyle w:val="Default"/>
        <w:rPr>
          <w:rStyle w:val="None"/>
          <w:rFonts w:ascii="Arial" w:cs="Arial" w:hAnsi="Arial" w:eastAsia="Arial"/>
          <w:sz w:val="24"/>
          <w:szCs w:val="24"/>
        </w:rPr>
      </w:pPr>
    </w:p>
    <w:p>
      <w:pPr>
        <w:pStyle w:val="Default"/>
        <w:rPr>
          <w:rStyle w:val="None"/>
          <w:rFonts w:ascii="Arial" w:cs="Arial" w:hAnsi="Arial" w:eastAsia="Arial"/>
          <w:sz w:val="24"/>
          <w:szCs w:val="24"/>
        </w:rPr>
      </w:pPr>
    </w:p>
    <w:p>
      <w:pPr>
        <w:pStyle w:val="Normal.0"/>
        <w:jc w:val="both"/>
      </w:pPr>
      <w:r>
        <w:rPr>
          <w:rStyle w:val="None"/>
          <w:rFonts w:ascii="Arial Unicode MS" w:cs="Arial Unicode MS" w:hAnsi="Arial Unicode MS" w:eastAsia="Arial Unicode MS"/>
          <w:b w:val="0"/>
          <w:bCs w:val="0"/>
          <w:i w:val="0"/>
          <w:iCs w:val="0"/>
        </w:rPr>
        <w:br w:type="page"/>
      </w:r>
    </w:p>
    <w:p>
      <w:pPr>
        <w:pStyle w:val="Normal.0"/>
        <w:jc w:val="both"/>
        <w:rPr>
          <w:rStyle w:val="None"/>
          <w:rFonts w:ascii="Arial" w:cs="Arial" w:hAnsi="Arial" w:eastAsia="Arial"/>
          <w:b w:val="1"/>
          <w:bCs w:val="1"/>
        </w:rPr>
      </w:pPr>
      <w:r>
        <w:rPr>
          <w:rStyle w:val="None"/>
          <w:rFonts w:ascii="Arial" w:hAnsi="Arial"/>
          <w:b w:val="1"/>
          <w:bCs w:val="1"/>
          <w:rtl w:val="0"/>
          <w:lang w:val="it-IT"/>
        </w:rPr>
        <w:t>Biography</w:t>
      </w:r>
    </w:p>
    <w:p>
      <w:pPr>
        <w:pStyle w:val="Normal.0"/>
        <w:rPr>
          <w:rStyle w:val="None"/>
          <w:rFonts w:ascii="Arial" w:cs="Arial" w:hAnsi="Arial" w:eastAsia="Arial"/>
          <w:b w:val="1"/>
          <w:bCs w:val="1"/>
        </w:rPr>
      </w:pPr>
      <w:r>
        <w:rPr>
          <w:rStyle w:val="None"/>
          <w:rFonts w:ascii="Arial Unicode MS" w:cs="Arial Unicode MS" w:hAnsi="Arial Unicode MS" w:eastAsia="Arial Unicode MS"/>
          <w:lang w:val="it-IT"/>
        </w:rPr>
        <w:br w:type="textWrapping"/>
      </w:r>
      <w:r>
        <w:rPr>
          <w:rStyle w:val="None"/>
          <w:rFonts w:ascii="Arial" w:hAnsi="Arial"/>
          <w:b w:val="1"/>
          <w:bCs w:val="1"/>
          <w:i w:val="1"/>
          <w:iCs w:val="1"/>
          <w:rtl w:val="0"/>
          <w:lang w:val="it-IT"/>
        </w:rPr>
        <w:t>Dr. Wassil Nowicky</w:t>
      </w:r>
      <w:r>
        <w:rPr>
          <w:rStyle w:val="None"/>
          <w:rFonts w:ascii="Arial" w:hAnsi="Arial" w:hint="default"/>
          <w:b w:val="1"/>
          <w:bCs w:val="1"/>
          <w:i w:val="1"/>
          <w:iCs w:val="1"/>
          <w:rtl w:val="0"/>
          <w:lang w:val="en-US"/>
        </w:rPr>
        <w:t xml:space="preserve"> —</w:t>
      </w:r>
      <w:r>
        <w:rPr>
          <w:rStyle w:val="None"/>
          <w:rFonts w:ascii="Arial" w:hAnsi="Arial"/>
          <w:rtl w:val="0"/>
          <w:lang w:val="it-IT"/>
        </w:rPr>
        <w:t xml:space="preserve"> Dipl. Ing., Dr. techn., DDDr. h. c., Director of </w:t>
      </w:r>
      <w:r>
        <w:rPr>
          <w:rStyle w:val="None"/>
          <w:rFonts w:ascii="Arial" w:hAnsi="Arial" w:hint="default"/>
          <w:rtl w:val="0"/>
          <w:lang w:val="it-IT"/>
        </w:rPr>
        <w:t>“</w:t>
      </w:r>
      <w:r>
        <w:rPr>
          <w:rStyle w:val="None"/>
          <w:rFonts w:ascii="Arial" w:hAnsi="Arial"/>
          <w:rtl w:val="0"/>
          <w:lang w:val="it-IT"/>
        </w:rPr>
        <w:t>Nowicky Pharma</w:t>
      </w:r>
      <w:r>
        <w:rPr>
          <w:rStyle w:val="None"/>
          <w:rFonts w:ascii="Arial" w:hAnsi="Arial" w:hint="default"/>
          <w:rtl w:val="0"/>
          <w:lang w:val="it-IT"/>
        </w:rPr>
        <w:t xml:space="preserve">” </w:t>
      </w:r>
      <w:r>
        <w:rPr>
          <w:rStyle w:val="None"/>
          <w:rFonts w:ascii="Arial" w:hAnsi="Arial"/>
          <w:rtl w:val="0"/>
          <w:lang w:val="it-IT"/>
        </w:rPr>
        <w:t xml:space="preserve">and President of the Ukrainian Anti-Cancer Institute (Vienna, Austria). Has finished his study at the Radiotechnical Faculty of the Technical University of Lviv (Ukraine) with the end of 1955 with graduation to </w:t>
      </w:r>
      <w:r>
        <w:rPr>
          <w:rStyle w:val="None"/>
          <w:rFonts w:ascii="Arial" w:hAnsi="Arial" w:hint="default"/>
          <w:rtl w:val="0"/>
          <w:lang w:val="it-IT"/>
        </w:rPr>
        <w:t>“</w:t>
      </w:r>
      <w:r>
        <w:rPr>
          <w:rStyle w:val="None"/>
          <w:rFonts w:ascii="Arial" w:hAnsi="Arial"/>
          <w:rtl w:val="0"/>
          <w:lang w:val="it-IT"/>
        </w:rPr>
        <w:t>Diplomingeniueur</w:t>
      </w:r>
      <w:r>
        <w:rPr>
          <w:rStyle w:val="None"/>
          <w:rFonts w:ascii="Arial" w:hAnsi="Arial" w:hint="default"/>
          <w:rtl w:val="0"/>
          <w:lang w:val="it-IT"/>
        </w:rPr>
        <w:t xml:space="preserve">” </w:t>
      </w:r>
      <w:r>
        <w:rPr>
          <w:rStyle w:val="None"/>
          <w:rFonts w:ascii="Arial" w:hAnsi="Arial"/>
          <w:rtl w:val="0"/>
          <w:lang w:val="it-IT"/>
        </w:rPr>
        <w:t xml:space="preserve">in 1960 which title was nostrificated in Austria in 1975. Inventor of the anticancer preparation on basis of celandine alkaloids </w:t>
      </w:r>
      <w:r>
        <w:rPr>
          <w:rStyle w:val="None"/>
          <w:rFonts w:ascii="Arial" w:hAnsi="Arial" w:hint="default"/>
          <w:rtl w:val="0"/>
          <w:lang w:val="it-IT"/>
        </w:rPr>
        <w:t>“</w:t>
      </w:r>
      <w:r>
        <w:rPr>
          <w:rStyle w:val="None"/>
          <w:rFonts w:ascii="Arial" w:hAnsi="Arial"/>
          <w:rtl w:val="0"/>
          <w:lang w:val="it-IT"/>
        </w:rPr>
        <w:t>NSC-631570</w:t>
      </w:r>
      <w:r>
        <w:rPr>
          <w:rStyle w:val="None"/>
          <w:rFonts w:ascii="Arial" w:hAnsi="Arial" w:hint="default"/>
          <w:rtl w:val="0"/>
          <w:lang w:val="it-IT"/>
        </w:rPr>
        <w:t>”</w:t>
      </w:r>
      <w:r>
        <w:rPr>
          <w:rStyle w:val="None"/>
          <w:rFonts w:ascii="Arial" w:hAnsi="Arial"/>
          <w:rtl w:val="0"/>
          <w:lang w:val="it-IT"/>
        </w:rPr>
        <w:t>.</w:t>
      </w:r>
      <w:r>
        <w:rPr>
          <w:rStyle w:val="None"/>
          <w:rFonts w:ascii="Arial" w:hAnsi="Arial"/>
          <w:rtl w:val="0"/>
          <w:lang w:val="en-US"/>
        </w:rPr>
        <w:t xml:space="preserve"> </w:t>
      </w:r>
      <w:r>
        <w:rPr>
          <w:rStyle w:val="None"/>
          <w:rFonts w:ascii="Arial" w:hAnsi="Arial"/>
          <w:rtl w:val="0"/>
          <w:lang w:val="it-IT"/>
        </w:rPr>
        <w:t xml:space="preserve">Author of over 300 scientific articles dedicated to cancer research. Dr. Wassil Nowicky is a real member of the New York Academy of Sciences, member of the European Union for applied immunology and of the American Association for scientific progress, honorary doctor of the Janka Kupala University in Hrodno, doctor </w:t>
      </w:r>
      <w:r>
        <w:rPr>
          <w:rStyle w:val="None"/>
          <w:rFonts w:ascii="Arial" w:hAnsi="Arial" w:hint="default"/>
          <w:rtl w:val="0"/>
          <w:lang w:val="it-IT"/>
        </w:rPr>
        <w:t>“</w:t>
      </w:r>
      <w:r>
        <w:rPr>
          <w:rStyle w:val="None"/>
          <w:rFonts w:ascii="Arial" w:hAnsi="Arial"/>
          <w:rtl w:val="0"/>
          <w:lang w:val="it-IT"/>
        </w:rPr>
        <w:t>honoris causa</w:t>
      </w:r>
      <w:r>
        <w:rPr>
          <w:rStyle w:val="None"/>
          <w:rFonts w:ascii="Arial" w:hAnsi="Arial" w:hint="default"/>
          <w:rtl w:val="0"/>
          <w:lang w:val="it-IT"/>
        </w:rPr>
        <w:t xml:space="preserve">” </w:t>
      </w:r>
      <w:r>
        <w:rPr>
          <w:rStyle w:val="None"/>
          <w:rFonts w:ascii="Arial" w:hAnsi="Arial"/>
          <w:rtl w:val="0"/>
          <w:lang w:val="it-IT"/>
        </w:rPr>
        <w:t xml:space="preserve">of the Open international university on complex medicine in Colombo, honorary member of the Austrian Society of a name </w:t>
      </w:r>
      <w:r>
        <w:rPr>
          <w:rStyle w:val="None"/>
          <w:rFonts w:ascii="Arial" w:hAnsi="Arial"/>
          <w:rtl w:val="0"/>
          <w:lang w:val="en-US"/>
        </w:rPr>
        <w:t>of</w:t>
      </w:r>
      <w:r>
        <w:rPr>
          <w:rStyle w:val="None"/>
          <w:rFonts w:ascii="Arial" w:hAnsi="Arial"/>
          <w:rtl w:val="0"/>
          <w:lang w:val="it-IT"/>
        </w:rPr>
        <w:t xml:space="preserve"> Albert Schweizer. He has received the award for merits of National guild of </w:t>
      </w:r>
      <w:r>
        <w:rPr>
          <w:rStyle w:val="None"/>
          <w:rFonts w:ascii="Arial" w:hAnsi="Arial"/>
          <w:rtl w:val="0"/>
          <w:lang w:val="en-US"/>
        </w:rPr>
        <w:t>pharmacists</w:t>
      </w:r>
      <w:r>
        <w:rPr>
          <w:rStyle w:val="None"/>
          <w:rFonts w:ascii="Arial" w:hAnsi="Arial"/>
          <w:rtl w:val="0"/>
          <w:lang w:val="it-IT"/>
        </w:rPr>
        <w:t xml:space="preserve"> of America. the award of Austrian Society of sanitary, hygiene and public health services and others.</w:t>
      </w:r>
      <w:r>
        <w:rPr>
          <w:rStyle w:val="None"/>
          <w:rFonts w:ascii="Arial Unicode MS" w:cs="Arial Unicode MS" w:hAnsi="Arial Unicode MS" w:eastAsia="Arial Unicode MS"/>
          <w:lang w:val="it-IT"/>
        </w:rPr>
        <w:br w:type="textWrapping"/>
      </w:r>
    </w:p>
    <w:p>
      <w:pPr>
        <w:pStyle w:val="Normal.0"/>
        <w:rPr>
          <w:rStyle w:val="None"/>
          <w:rFonts w:ascii="Arial" w:cs="Arial" w:hAnsi="Arial" w:eastAsia="Arial"/>
          <w:lang w:val="en-US"/>
        </w:rPr>
      </w:pPr>
      <w:r>
        <w:rPr>
          <w:rStyle w:val="None"/>
          <w:rFonts w:ascii="Arial" w:hAnsi="Arial"/>
          <w:b w:val="1"/>
          <w:bCs w:val="1"/>
          <w:rtl w:val="0"/>
          <w:lang w:val="en-US"/>
        </w:rPr>
        <w:t xml:space="preserve">Presenting author details </w:t>
      </w:r>
      <w:r>
        <w:rPr>
          <w:rStyle w:val="None"/>
          <w:rFonts w:ascii="Arial Unicode MS" w:cs="Arial Unicode MS" w:hAnsi="Arial Unicode MS" w:eastAsia="Arial Unicode MS"/>
          <w:lang w:val="en-US"/>
        </w:rPr>
        <w:br w:type="textWrapping"/>
      </w:r>
      <w:r>
        <w:rPr>
          <w:rStyle w:val="None"/>
          <w:rFonts w:ascii="Arial" w:hAnsi="Arial"/>
          <w:rtl w:val="0"/>
          <w:lang w:val="en-US"/>
        </w:rPr>
        <w:t>Full name: Dr. Wassil Nowicky</w:t>
      </w:r>
    </w:p>
    <w:p>
      <w:pPr>
        <w:pStyle w:val="Normal.0"/>
        <w:rPr>
          <w:rStyle w:val="None"/>
          <w:rFonts w:ascii="Arial" w:cs="Arial" w:hAnsi="Arial" w:eastAsia="Arial"/>
          <w:lang w:val="de-DE"/>
        </w:rPr>
      </w:pPr>
      <w:r>
        <w:rPr>
          <w:rStyle w:val="None"/>
          <w:rFonts w:ascii="Arial" w:hAnsi="Arial"/>
          <w:rtl w:val="0"/>
          <w:lang w:val="de-DE"/>
        </w:rPr>
        <w:t xml:space="preserve">E-mail: </w:t>
      </w:r>
      <w:r>
        <w:rPr>
          <w:rStyle w:val="Hyperlink.1"/>
          <w:rFonts w:ascii="Arial" w:cs="Arial" w:hAnsi="Arial" w:eastAsia="Arial"/>
          <w:color w:val="0000ff"/>
          <w:u w:val="single" w:color="0000ff"/>
          <w:lang w:val="de-DE"/>
        </w:rPr>
        <w:fldChar w:fldCharType="begin" w:fldLock="0"/>
      </w:r>
      <w:r>
        <w:rPr>
          <w:rStyle w:val="Hyperlink.1"/>
          <w:rFonts w:ascii="Arial" w:cs="Arial" w:hAnsi="Arial" w:eastAsia="Arial"/>
          <w:color w:val="0000ff"/>
          <w:u w:val="single" w:color="0000ff"/>
          <w:lang w:val="de-DE"/>
        </w:rPr>
        <w:instrText xml:space="preserve"> HYPERLINK "mailto:dr.nowicky@yahoo.de"</w:instrText>
      </w:r>
      <w:r>
        <w:rPr>
          <w:rStyle w:val="Hyperlink.1"/>
          <w:rFonts w:ascii="Arial" w:cs="Arial" w:hAnsi="Arial" w:eastAsia="Arial"/>
          <w:color w:val="0000ff"/>
          <w:u w:val="single" w:color="0000ff"/>
          <w:lang w:val="de-DE"/>
        </w:rPr>
        <w:fldChar w:fldCharType="separate" w:fldLock="0"/>
      </w:r>
      <w:r>
        <w:rPr>
          <w:rStyle w:val="Hyperlink.1"/>
          <w:rFonts w:ascii="Arial" w:hAnsi="Arial"/>
          <w:color w:val="0000ff"/>
          <w:u w:val="single" w:color="0000ff"/>
          <w:rtl w:val="0"/>
          <w:lang w:val="de-DE"/>
        </w:rPr>
        <w:t>dr.nowicky@yahoo.de</w:t>
      </w:r>
      <w:r>
        <w:rPr>
          <w:lang w:val="de-DE"/>
        </w:rPr>
        <w:fldChar w:fldCharType="end" w:fldLock="0"/>
      </w:r>
    </w:p>
    <w:p>
      <w:pPr>
        <w:pStyle w:val="Normal.0"/>
      </w:pPr>
      <w:r>
        <w:rPr>
          <w:rStyle w:val="None"/>
          <w:rFonts w:ascii="Arial" w:hAnsi="Arial"/>
          <w:rtl w:val="0"/>
          <w:lang w:val="en-US"/>
        </w:rPr>
        <w:t xml:space="preserve">Website: </w:t>
      </w:r>
      <w:r>
        <w:rPr>
          <w:rStyle w:val="Hyperlink.2"/>
          <w:rFonts w:ascii="Arial" w:cs="Arial" w:hAnsi="Arial" w:eastAsia="Arial"/>
          <w:color w:val="0000ff"/>
          <w:u w:val="single" w:color="0000ff"/>
          <w:lang w:val="en-US"/>
        </w:rPr>
        <w:fldChar w:fldCharType="begin" w:fldLock="0"/>
      </w:r>
      <w:r>
        <w:rPr>
          <w:rStyle w:val="Hyperlink.2"/>
          <w:rFonts w:ascii="Arial" w:cs="Arial" w:hAnsi="Arial" w:eastAsia="Arial"/>
          <w:color w:val="0000ff"/>
          <w:u w:val="single" w:color="0000ff"/>
          <w:lang w:val="en-US"/>
        </w:rPr>
        <w:instrText xml:space="preserve"> HYPERLINK "http://www.ukrin.com"</w:instrText>
      </w:r>
      <w:r>
        <w:rPr>
          <w:rStyle w:val="Hyperlink.2"/>
          <w:rFonts w:ascii="Arial" w:cs="Arial" w:hAnsi="Arial" w:eastAsia="Arial"/>
          <w:color w:val="0000ff"/>
          <w:u w:val="single" w:color="0000ff"/>
          <w:lang w:val="en-US"/>
        </w:rPr>
        <w:fldChar w:fldCharType="separate" w:fldLock="0"/>
      </w:r>
      <w:r>
        <w:rPr>
          <w:rStyle w:val="Hyperlink.2"/>
          <w:rFonts w:ascii="Arial" w:hAnsi="Arial"/>
          <w:color w:val="0000ff"/>
          <w:u w:val="single" w:color="0000ff"/>
          <w:rtl w:val="0"/>
          <w:lang w:val="en-US"/>
        </w:rPr>
        <w:t>www.ukrin.com</w:t>
      </w:r>
      <w:r>
        <w:rPr>
          <w:lang w:val="en-US"/>
        </w:rPr>
        <w:fldChar w:fldCharType="end" w:fldLock="0"/>
      </w:r>
      <w:r>
        <w:rPr>
          <w:rStyle w:val="None"/>
          <w:rFonts w:ascii="Arial" w:hAnsi="Arial"/>
          <w:rtl w:val="0"/>
          <w:lang w:val="en-US"/>
        </w:rPr>
        <w:t xml:space="preserve"> </w:t>
      </w:r>
      <w:r>
        <w:rPr>
          <w:rStyle w:val="None"/>
          <w:rFonts w:ascii="Arial Unicode MS" w:cs="Arial Unicode MS" w:hAnsi="Arial Unicode MS" w:eastAsia="Arial Unicode MS"/>
          <w:lang w:val="en-US"/>
        </w:rPr>
        <w:br w:type="textWrapping"/>
      </w:r>
      <w:r>
        <w:rPr>
          <w:rStyle w:val="None"/>
          <w:rFonts w:ascii="Arial" w:hAnsi="Arial"/>
          <w:rtl w:val="0"/>
          <w:lang w:val="en-US"/>
        </w:rPr>
        <w:t>Contact number: +436644020692</w:t>
      </w:r>
    </w:p>
    <w:sectPr>
      <w:headerReference w:type="default" r:id="rId5"/>
      <w:footerReference w:type="default" r:id="rId6"/>
      <w:pgSz w:w="11900" w:h="16840" w:orient="portrait"/>
      <w:pgMar w:top="720" w:right="1080" w:bottom="360" w:left="1080" w:header="709" w:footer="709"/>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footnotes.xml><?xml version="1.0" encoding="utf-8"?>
<w:footnotes xmlns:w="http://schemas.openxmlformats.org/wordprocessingml/2006/main" xmlns:r="http://schemas.openxmlformats.org/officeDocument/2006/relationships" xmlns:w14="http://schemas.microsoft.com/office/word/2010/wordml">
  <w:footnote w:type="separator" w:id="-1">
    <w:p>
      <w:r>
        <w:separator/>
      </w:r>
    </w:p>
  </w:footnote>
  <w:footnote w:type="continuationSeparator" w:id="0">
    <w:p>
      <w:r>
        <w:continuationSeparator/>
      </w:r>
    </w:p>
  </w:footnote>
  <w:footnote w:type="continuationNotice" w:id="-2">
    <w:p>
      <w:r>
        <w:t/>
      </w:r>
    </w:p>
  </w:footnote>
  <w:footnote w:id="1">
    <w:p>
      <w:pPr>
        <w:pStyle w:val="Footnote"/>
      </w:pPr>
      <w:r>
        <w:rPr>
          <w:rFonts w:ascii="Arial" w:cs="Arial" w:hAnsi="Arial" w:eastAsia="Arial"/>
          <w:sz w:val="24"/>
          <w:szCs w:val="24"/>
          <w:vertAlign w:val="superscript"/>
        </w:rPr>
        <w:footnoteRef/>
      </w:r>
      <w:r>
        <w:rPr>
          <w:rFonts w:cs="Arial Unicode MS" w:eastAsia="Arial Unicode MS"/>
          <w:sz w:val="20"/>
          <w:szCs w:val="20"/>
          <w:rtl w:val="0"/>
          <w:lang w:val="en-US"/>
        </w:rPr>
        <w:t xml:space="preserve"> Boyko VN, Zholus RB (1998): A comparative evaluation of the influence of the complex drug Ukrain and its components on the effects of radiation. Drugs under experimental and clinical research, 24(5</w:t>
      </w:r>
      <w:r>
        <w:rPr>
          <w:rFonts w:cs="Arial Unicode MS" w:eastAsia="Arial Unicode MS" w:hint="default"/>
          <w:sz w:val="20"/>
          <w:szCs w:val="20"/>
          <w:rtl w:val="0"/>
        </w:rPr>
        <w:t>‐</w:t>
      </w:r>
      <w:r>
        <w:rPr>
          <w:rFonts w:cs="Arial Unicode MS" w:eastAsia="Arial Unicode MS"/>
          <w:sz w:val="20"/>
          <w:szCs w:val="20"/>
          <w:rtl w:val="0"/>
        </w:rPr>
        <w:t>6):331</w:t>
      </w:r>
      <w:r>
        <w:rPr>
          <w:rFonts w:cs="Arial Unicode MS" w:eastAsia="Arial Unicode MS" w:hint="default"/>
          <w:sz w:val="20"/>
          <w:szCs w:val="20"/>
          <w:rtl w:val="0"/>
        </w:rPr>
        <w:t>‐</w:t>
      </w:r>
      <w:r>
        <w:rPr>
          <w:rFonts w:cs="Arial Unicode MS" w:eastAsia="Arial Unicode MS"/>
          <w:sz w:val="20"/>
          <w:szCs w:val="20"/>
          <w:rtl w:val="0"/>
        </w:rPr>
        <w:t xml:space="preserve">333. </w:t>
      </w:r>
      <w:r>
        <w:rPr>
          <w:rStyle w:val="Hyperlink.0"/>
        </w:rPr>
        <w:fldChar w:fldCharType="begin" w:fldLock="0"/>
      </w:r>
      <w:r>
        <w:rPr>
          <w:rStyle w:val="Hyperlink.0"/>
        </w:rPr>
        <w:instrText xml:space="preserve"> HYPERLINK "http://www.ncbi.nlm.nih.gov/pubmed/10190098"</w:instrText>
      </w:r>
      <w:r>
        <w:rPr>
          <w:rStyle w:val="Hyperlink.0"/>
        </w:rPr>
        <w:fldChar w:fldCharType="separate" w:fldLock="0"/>
      </w:r>
      <w:r>
        <w:rPr>
          <w:rStyle w:val="Hyperlink.0"/>
          <w:rFonts w:cs="Arial Unicode MS" w:eastAsia="Arial Unicode MS"/>
          <w:rtl w:val="0"/>
          <w:lang w:val="en-US"/>
        </w:rPr>
        <w:t>http://www.ncbi.nlm.nih.gov/pubmed/10190098</w:t>
      </w:r>
      <w:r>
        <w:rPr/>
        <w:fldChar w:fldCharType="end" w:fldLock="0"/>
      </w:r>
      <w:r>
        <w:rPr>
          <w:rStyle w:val="None"/>
          <w:rFonts w:cs="Arial Unicode MS" w:eastAsia="Arial Unicode MS"/>
          <w:sz w:val="20"/>
          <w:szCs w:val="20"/>
          <w:rtl w:val="0"/>
          <w:lang w:val="en-US"/>
        </w:rPr>
        <w:t xml:space="preserve"> </w:t>
      </w:r>
    </w:p>
  </w:footnote>
  <w:footnote w:id="2">
    <w:p>
      <w:pPr>
        <w:pStyle w:val="Footnote"/>
      </w:pPr>
      <w:r>
        <w:rPr>
          <w:rStyle w:val="None"/>
          <w:rFonts w:ascii="Arial" w:cs="Arial" w:hAnsi="Arial" w:eastAsia="Arial"/>
          <w:sz w:val="24"/>
          <w:szCs w:val="24"/>
          <w:vertAlign w:val="superscript"/>
          <w:lang w:val="en-US"/>
        </w:rPr>
        <w:footnoteRef/>
      </w:r>
      <w:r>
        <w:rPr>
          <w:rStyle w:val="None"/>
          <w:rFonts w:cs="Arial Unicode MS" w:eastAsia="Arial Unicode MS"/>
          <w:sz w:val="20"/>
          <w:szCs w:val="20"/>
          <w:rtl w:val="0"/>
          <w:lang w:val="en-US"/>
        </w:rPr>
        <w:t xml:space="preserve"> Zahriychuk O (2003): Ukrain, a thiophosphoric acid derivative of alkaloids of Chelidonium majus L., is effective in the treatment of recurrent bronchopulmonary pathology in </w:t>
      </w:r>
      <w:r>
        <w:rPr>
          <w:rStyle w:val="None"/>
          <w:rFonts w:cs="Arial Unicode MS" w:eastAsia="Arial Unicode MS"/>
          <w:sz w:val="20"/>
          <w:szCs w:val="20"/>
          <w:rtl w:val="0"/>
        </w:rPr>
        <w:t>68</w:t>
      </w:r>
      <w:r>
        <w:rPr>
          <w:rStyle w:val="None"/>
          <w:rFonts w:cs="Arial Unicode MS" w:eastAsia="Arial Unicode MS"/>
          <w:sz w:val="20"/>
          <w:szCs w:val="20"/>
          <w:rtl w:val="0"/>
          <w:lang w:val="en-US"/>
        </w:rPr>
        <w:t xml:space="preserve"> children from areas contaminated after the Chernobyl accident. Int J Immunother, XIX(2</w:t>
      </w:r>
      <w:r>
        <w:rPr>
          <w:rStyle w:val="None"/>
          <w:rFonts w:cs="Arial Unicode MS" w:eastAsia="Arial Unicode MS" w:hint="default"/>
          <w:sz w:val="20"/>
          <w:szCs w:val="20"/>
          <w:rtl w:val="0"/>
        </w:rPr>
        <w:t>‐</w:t>
      </w:r>
      <w:r>
        <w:rPr>
          <w:rStyle w:val="None"/>
          <w:rFonts w:cs="Arial Unicode MS" w:eastAsia="Arial Unicode MS"/>
          <w:sz w:val="20"/>
          <w:szCs w:val="20"/>
          <w:rtl w:val="0"/>
        </w:rPr>
        <w:t>4):47</w:t>
      </w:r>
      <w:r>
        <w:rPr>
          <w:rStyle w:val="None"/>
          <w:rFonts w:cs="Arial Unicode MS" w:eastAsia="Arial Unicode MS" w:hint="default"/>
          <w:sz w:val="20"/>
          <w:szCs w:val="20"/>
          <w:rtl w:val="0"/>
        </w:rPr>
        <w:t>‐</w:t>
      </w:r>
      <w:r>
        <w:rPr>
          <w:rStyle w:val="None"/>
          <w:rFonts w:cs="Arial Unicode MS" w:eastAsia="Arial Unicode MS"/>
          <w:sz w:val="20"/>
          <w:szCs w:val="20"/>
          <w:rtl w:val="0"/>
        </w:rPr>
        <w:t>53.</w:t>
      </w:r>
    </w:p>
  </w:footnote>
</w:footnotes>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1"/>
  <w:evenAndOddHeaders w:val="0"/>
  <w:bookFoldPrinting w:val="0"/>
  <w:noLineBreaksAfter w:lang="English" w:val="‘“(〔[{〈《「『【⦅〘〖«〝︵︷︹︻︽︿﹁﹃﹇﹙﹛﹝｢"/>
  <w:noLineBreaksBefore w:lang="English" w:val="’”)〕]}〉"/>
  <w:footnotePr>
    <w:numFmt w:val="decimal"/>
    <w:numStart w:val="1"/>
    <w:numRestart w:val="continuous"/>
    <w:footnote w:id="-1"/>
    <w:footnote w:id="0"/>
    <w:footnote w:id="-2"/>
  </w:footnotePr>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Normal.0">
    <w:name w:val="Normal"/>
    <w:next w:val="Normal.0"/>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it-IT"/>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Helvetica" w:hAnsi="Helvetica" w:eastAsia="Helvetica"/>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paragraph" w:styleId="Footnote">
    <w:name w:val="Footnote"/>
    <w:next w:val="Footnote"/>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2"/>
      <w:szCs w:val="22"/>
      <w:u w:val="none" w:color="000000"/>
      <w:vertAlign w:val="baseline"/>
    </w:rPr>
  </w:style>
  <w:style w:type="character" w:styleId="None">
    <w:name w:val="None"/>
  </w:style>
  <w:style w:type="character" w:styleId="Hyperlink.0">
    <w:name w:val="Hyperlink.0"/>
    <w:basedOn w:val="None"/>
    <w:next w:val="Hyperlink.0"/>
    <w:rPr>
      <w:color w:val="0000ff"/>
      <w:sz w:val="20"/>
      <w:szCs w:val="20"/>
      <w:u w:val="single" w:color="0000ff"/>
      <w:lang w:val="en-US"/>
    </w:rPr>
  </w:style>
  <w:style w:type="character" w:styleId="Hyperlink.1">
    <w:name w:val="Hyperlink.1"/>
    <w:basedOn w:val="None"/>
    <w:next w:val="Hyperlink.1"/>
    <w:rPr>
      <w:rFonts w:ascii="Arial" w:cs="Arial" w:hAnsi="Arial" w:eastAsia="Arial"/>
      <w:color w:val="0000ff"/>
      <w:u w:val="single" w:color="0000ff"/>
      <w:lang w:val="de-DE"/>
    </w:rPr>
  </w:style>
  <w:style w:type="character" w:styleId="Hyperlink.2">
    <w:name w:val="Hyperlink.2"/>
    <w:basedOn w:val="None"/>
    <w:next w:val="Hyperlink.2"/>
    <w:rPr>
      <w:rFonts w:ascii="Arial" w:cs="Arial" w:hAnsi="Arial" w:eastAsia="Arial"/>
      <w:color w:val="0000ff"/>
      <w:u w:val="single" w:color="0000ff"/>
      <w:lang w:val="en-US"/>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jpe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footnotes" Target="footnotes.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