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BE313" w14:textId="77777777" w:rsidR="009D6584" w:rsidRPr="000644FE" w:rsidRDefault="009D6584" w:rsidP="009D6584">
      <w:pPr>
        <w:rPr>
          <w:rFonts w:ascii="Calibri" w:hAnsi="Calibri"/>
          <w:b/>
          <w:sz w:val="32"/>
        </w:rPr>
      </w:pPr>
      <w:r w:rsidRPr="000644FE">
        <w:rPr>
          <w:rFonts w:ascii="Calibri" w:hAnsi="Calibri"/>
          <w:b/>
          <w:sz w:val="32"/>
        </w:rPr>
        <w:t>Compliance with Guideline-Based Empiric Antimicrobial Therapy for Febrile Neutropenia in Adult Filipino Patients and their Effect on Outcomes</w:t>
      </w:r>
    </w:p>
    <w:p w14:paraId="79F33653" w14:textId="77777777" w:rsidR="009845A1" w:rsidRPr="000644FE" w:rsidRDefault="009845A1" w:rsidP="009845A1">
      <w:pPr>
        <w:rPr>
          <w:rFonts w:ascii="Calibri" w:hAnsi="Calibri"/>
        </w:rPr>
      </w:pPr>
    </w:p>
    <w:p w14:paraId="027819F9" w14:textId="77777777" w:rsidR="009845A1" w:rsidRPr="000644FE" w:rsidRDefault="009845A1" w:rsidP="009845A1">
      <w:pPr>
        <w:rPr>
          <w:rFonts w:ascii="Calibri" w:hAnsi="Calibri"/>
        </w:rPr>
      </w:pPr>
      <w:r w:rsidRPr="000644FE">
        <w:rPr>
          <w:rFonts w:ascii="Calibri" w:hAnsi="Calibri"/>
        </w:rPr>
        <w:t>Frederic Ivan L. Ting, MD, Faith Y. Santos, MD,</w:t>
      </w:r>
    </w:p>
    <w:p w14:paraId="548916D5" w14:textId="77777777" w:rsidR="00AE3E37" w:rsidRPr="000644FE" w:rsidRDefault="009845A1" w:rsidP="009845A1">
      <w:pPr>
        <w:rPr>
          <w:rFonts w:ascii="Calibri" w:hAnsi="Calibri"/>
        </w:rPr>
      </w:pPr>
      <w:r w:rsidRPr="000644FE">
        <w:rPr>
          <w:rFonts w:ascii="Calibri" w:hAnsi="Calibri"/>
        </w:rPr>
        <w:t xml:space="preserve">Andrew I. </w:t>
      </w:r>
      <w:proofErr w:type="spellStart"/>
      <w:r w:rsidRPr="000644FE">
        <w:rPr>
          <w:rFonts w:ascii="Calibri" w:hAnsi="Calibri"/>
        </w:rPr>
        <w:t>Mallen</w:t>
      </w:r>
      <w:proofErr w:type="spellEnd"/>
      <w:r w:rsidRPr="000644FE">
        <w:rPr>
          <w:rFonts w:ascii="Calibri" w:hAnsi="Calibri"/>
        </w:rPr>
        <w:t>, MD, FPCP, FPSMO, Jeanette J. Umali, MD, FPCP, FPSMID</w:t>
      </w:r>
    </w:p>
    <w:p w14:paraId="2A3DDE1F" w14:textId="77777777" w:rsidR="009845A1" w:rsidRPr="009845A1" w:rsidRDefault="009845A1" w:rsidP="009845A1"/>
    <w:p w14:paraId="227F159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06C22E4" w14:textId="77777777" w:rsidR="000644FE" w:rsidRPr="000644FE" w:rsidRDefault="009845A1" w:rsidP="009845A1">
      <w:pPr>
        <w:pStyle w:val="Heading3"/>
        <w:spacing w:before="147"/>
        <w:ind w:left="0"/>
        <w:jc w:val="both"/>
        <w:rPr>
          <w:rFonts w:ascii="Calibri" w:hAnsi="Calibri"/>
          <w:color w:val="BF5A14"/>
          <w:sz w:val="24"/>
          <w:szCs w:val="24"/>
        </w:rPr>
      </w:pPr>
      <w:r w:rsidRPr="000644FE">
        <w:rPr>
          <w:rFonts w:ascii="Calibri" w:hAnsi="Calibri"/>
          <w:color w:val="BF5A14"/>
          <w:sz w:val="24"/>
          <w:szCs w:val="24"/>
        </w:rPr>
        <w:lastRenderedPageBreak/>
        <w:t>Abstract</w:t>
      </w:r>
    </w:p>
    <w:p w14:paraId="4F8340EC" w14:textId="77777777" w:rsidR="000644FE" w:rsidRDefault="000644FE" w:rsidP="009845A1">
      <w:pPr>
        <w:jc w:val="both"/>
        <w:rPr>
          <w:rFonts w:ascii="Calibri" w:hAnsi="Calibri"/>
          <w:b/>
          <w:sz w:val="18"/>
          <w:szCs w:val="20"/>
          <w:u w:val="single"/>
        </w:rPr>
      </w:pPr>
    </w:p>
    <w:p w14:paraId="795E6B22"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Background:</w:t>
      </w:r>
      <w:r w:rsidRPr="000644FE">
        <w:rPr>
          <w:rFonts w:ascii="Calibri" w:hAnsi="Calibri"/>
          <w:sz w:val="18"/>
          <w:szCs w:val="20"/>
        </w:rPr>
        <w:t xml:space="preserve"> Febrile neutropenia (FN) is a common complication of immunocompromised patients –whether due to infection, cancer, drug-induced, or other bone marrow failure states. With the incidence of patients with immunocompromised states on the rise, this life threatening complication is also increasing. The importance of initiating the appropriate empiric antibiot</w:t>
      </w:r>
      <w:r w:rsidRPr="000644FE">
        <w:rPr>
          <w:rFonts w:ascii="Calibri" w:hAnsi="Calibri"/>
          <w:sz w:val="18"/>
          <w:szCs w:val="20"/>
        </w:rPr>
        <w:t>ic therapy can prove to be life-</w:t>
      </w:r>
      <w:r w:rsidRPr="000644FE">
        <w:rPr>
          <w:rFonts w:ascii="Calibri" w:hAnsi="Calibri"/>
          <w:sz w:val="18"/>
          <w:szCs w:val="20"/>
        </w:rPr>
        <w:t>saving, thus we examined how the initial choice of antibiotics influenced patient outcomes.</w:t>
      </w:r>
    </w:p>
    <w:p w14:paraId="3640F502" w14:textId="77777777" w:rsidR="009845A1" w:rsidRPr="000644FE" w:rsidRDefault="009845A1" w:rsidP="009845A1">
      <w:pPr>
        <w:jc w:val="both"/>
        <w:rPr>
          <w:rFonts w:ascii="Calibri" w:hAnsi="Calibri"/>
          <w:sz w:val="18"/>
          <w:szCs w:val="20"/>
        </w:rPr>
      </w:pPr>
    </w:p>
    <w:p w14:paraId="750418BA"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Objective</w:t>
      </w:r>
      <w:r w:rsidRPr="000644FE">
        <w:rPr>
          <w:rFonts w:ascii="Calibri" w:hAnsi="Calibri"/>
          <w:sz w:val="18"/>
          <w:szCs w:val="20"/>
        </w:rPr>
        <w:t xml:space="preserve">: This study aimed to determine the effect of adherence to guideline-based antimicrobial therapy for adult febrile neutropenia patients in terms of patient outcomes. </w:t>
      </w:r>
    </w:p>
    <w:p w14:paraId="393590F4" w14:textId="77777777" w:rsidR="009845A1" w:rsidRPr="000644FE" w:rsidRDefault="009845A1" w:rsidP="009845A1">
      <w:pPr>
        <w:jc w:val="both"/>
        <w:rPr>
          <w:rFonts w:ascii="Calibri" w:hAnsi="Calibri"/>
          <w:sz w:val="18"/>
          <w:szCs w:val="20"/>
        </w:rPr>
      </w:pPr>
    </w:p>
    <w:p w14:paraId="5706C45E"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Design</w:t>
      </w:r>
      <w:r w:rsidRPr="000644FE">
        <w:rPr>
          <w:rFonts w:ascii="Calibri" w:hAnsi="Calibri"/>
          <w:sz w:val="18"/>
          <w:szCs w:val="20"/>
        </w:rPr>
        <w:t>: Retrospective Cross-Sectional Analytical Study</w:t>
      </w:r>
    </w:p>
    <w:p w14:paraId="39A84149" w14:textId="77777777" w:rsidR="009845A1" w:rsidRPr="000644FE" w:rsidRDefault="009845A1" w:rsidP="009845A1">
      <w:pPr>
        <w:jc w:val="both"/>
        <w:rPr>
          <w:rFonts w:ascii="Calibri" w:hAnsi="Calibri"/>
          <w:sz w:val="18"/>
          <w:szCs w:val="20"/>
        </w:rPr>
      </w:pPr>
    </w:p>
    <w:p w14:paraId="06DD6005"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Methods</w:t>
      </w:r>
      <w:r w:rsidRPr="000644FE">
        <w:rPr>
          <w:rFonts w:ascii="Calibri" w:hAnsi="Calibri"/>
          <w:sz w:val="18"/>
          <w:szCs w:val="20"/>
        </w:rPr>
        <w:t>: This is a 10-year cross-sectional analytical study which was conducted by doing a retrospective chart review involving adult patients with FN from 2007 to 2016. We determined use of guideline-based antibiotics, examined the factors that influenced adherence, and investigated the effect of initial treatment on patient outcome.</w:t>
      </w:r>
    </w:p>
    <w:p w14:paraId="75B952C4" w14:textId="77777777" w:rsidR="009845A1" w:rsidRPr="000644FE" w:rsidRDefault="009845A1" w:rsidP="009845A1">
      <w:pPr>
        <w:jc w:val="both"/>
        <w:rPr>
          <w:rFonts w:ascii="Calibri" w:hAnsi="Calibri"/>
          <w:sz w:val="18"/>
          <w:szCs w:val="20"/>
        </w:rPr>
      </w:pPr>
    </w:p>
    <w:p w14:paraId="61A916D2"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Results</w:t>
      </w:r>
      <w:r w:rsidRPr="000644FE">
        <w:rPr>
          <w:rFonts w:ascii="Calibri" w:hAnsi="Calibri"/>
          <w:sz w:val="18"/>
          <w:szCs w:val="20"/>
        </w:rPr>
        <w:t xml:space="preserve">: Among the 257 adult patients with FN included in the study, guideline-based antibiotics were administered to 65%. On multivariate analysis, the most powerful predictor of adherence to guideline-based antibiotics was the type of risk (p=0.000), with high risk patients thrice more likely to be given guideline-based antibiotics. Other predictors were physician specialty (p= 0.036) and hematologic malignancy (p=0.045). This study showed that among low risk patients with FN, a trend towards patient discharge was observed (OR 1.18, CI = 0.16 – 8.63). However overall, adherence to guideline-based empiric antibiotic in treating adult FN patients did not correlate to patient discharge (p=0.134, OR 0.557, 95% CI = 0.260-1.205). </w:t>
      </w:r>
    </w:p>
    <w:p w14:paraId="2EDD6C9A" w14:textId="77777777" w:rsidR="009845A1" w:rsidRPr="000644FE" w:rsidRDefault="009845A1" w:rsidP="009845A1">
      <w:pPr>
        <w:jc w:val="both"/>
        <w:rPr>
          <w:rFonts w:ascii="Calibri" w:hAnsi="Calibri"/>
          <w:sz w:val="18"/>
          <w:szCs w:val="20"/>
        </w:rPr>
      </w:pPr>
    </w:p>
    <w:p w14:paraId="7F9C2283" w14:textId="77777777" w:rsidR="009845A1" w:rsidRPr="000644FE" w:rsidRDefault="009845A1" w:rsidP="009845A1">
      <w:pPr>
        <w:jc w:val="both"/>
        <w:rPr>
          <w:rFonts w:ascii="Calibri" w:hAnsi="Calibri"/>
          <w:sz w:val="18"/>
          <w:szCs w:val="20"/>
        </w:rPr>
      </w:pPr>
      <w:r w:rsidRPr="000644FE">
        <w:rPr>
          <w:rFonts w:ascii="Calibri" w:hAnsi="Calibri"/>
          <w:b/>
          <w:sz w:val="18"/>
          <w:szCs w:val="20"/>
          <w:u w:val="single"/>
        </w:rPr>
        <w:t>Conclusions</w:t>
      </w:r>
      <w:r w:rsidRPr="000644FE">
        <w:rPr>
          <w:rFonts w:ascii="Calibri" w:hAnsi="Calibri"/>
          <w:sz w:val="18"/>
          <w:szCs w:val="20"/>
        </w:rPr>
        <w:t xml:space="preserve">: In summary, our data suggest that adherence to guideline-based antibiotics in managing adult Filipino patients with febrile neutropenia does not correlate to better outcomes such as patient discharge. Significant factors associated with adherence to guideline-based antibiotics are physician specialty, hematologic malignancy, and type of risk. </w:t>
      </w:r>
    </w:p>
    <w:p w14:paraId="23E5023D" w14:textId="77777777" w:rsidR="00AE3E37" w:rsidRPr="000644FE" w:rsidRDefault="00A9710C">
      <w:pPr>
        <w:pStyle w:val="Heading3"/>
        <w:spacing w:before="74"/>
        <w:rPr>
          <w:rFonts w:ascii="Calibri" w:hAnsi="Calibri"/>
          <w:color w:val="BF5A14"/>
          <w:sz w:val="24"/>
          <w:szCs w:val="24"/>
        </w:rPr>
      </w:pPr>
      <w:r w:rsidRPr="000644FE">
        <w:rPr>
          <w:rFonts w:ascii="Calibri" w:hAnsi="Calibri"/>
          <w:b w:val="0"/>
        </w:rPr>
        <w:br w:type="column"/>
      </w:r>
      <w:r w:rsidR="009845A1" w:rsidRPr="000644FE">
        <w:rPr>
          <w:rFonts w:ascii="Calibri" w:hAnsi="Calibri"/>
          <w:color w:val="BF5A14"/>
          <w:sz w:val="24"/>
          <w:szCs w:val="24"/>
        </w:rPr>
        <w:lastRenderedPageBreak/>
        <w:t>Tables</w:t>
      </w:r>
    </w:p>
    <w:p w14:paraId="2393A15F" w14:textId="77777777" w:rsidR="009845A1" w:rsidRPr="000644FE" w:rsidRDefault="009845A1">
      <w:pPr>
        <w:pStyle w:val="Heading3"/>
        <w:spacing w:before="74"/>
        <w:rPr>
          <w:rFonts w:ascii="Calibri" w:hAnsi="Calibri"/>
          <w:color w:val="BF5A14"/>
        </w:rPr>
      </w:pPr>
      <w:r w:rsidRPr="000644FE">
        <w:rPr>
          <w:rFonts w:ascii="Calibri" w:hAnsi="Calibri"/>
          <w:noProof/>
          <w:color w:val="BF5A14"/>
        </w:rPr>
        <w:drawing>
          <wp:inline distT="0" distB="0" distL="0" distR="0" wp14:anchorId="231F8958" wp14:editId="0BE4C0CD">
            <wp:extent cx="3134084" cy="172327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10-22 at 11.00.48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48036" cy="1730946"/>
                    </a:xfrm>
                    <a:prstGeom prst="rect">
                      <a:avLst/>
                    </a:prstGeom>
                  </pic:spPr>
                </pic:pic>
              </a:graphicData>
            </a:graphic>
          </wp:inline>
        </w:drawing>
      </w:r>
    </w:p>
    <w:p w14:paraId="71A290BA" w14:textId="77777777" w:rsidR="009845A1" w:rsidRPr="000644FE" w:rsidRDefault="009845A1">
      <w:pPr>
        <w:pStyle w:val="Heading3"/>
        <w:spacing w:before="74"/>
        <w:rPr>
          <w:rFonts w:ascii="Calibri" w:hAnsi="Calibri"/>
        </w:rPr>
      </w:pPr>
      <w:r w:rsidRPr="000644FE">
        <w:rPr>
          <w:rFonts w:ascii="Calibri" w:hAnsi="Calibri"/>
          <w:noProof/>
        </w:rPr>
        <w:drawing>
          <wp:inline distT="0" distB="0" distL="0" distR="0" wp14:anchorId="61C5250E" wp14:editId="632B66D8">
            <wp:extent cx="3203108" cy="1306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7-10-22 at 11.01.06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7566" cy="1308764"/>
                    </a:xfrm>
                    <a:prstGeom prst="rect">
                      <a:avLst/>
                    </a:prstGeom>
                  </pic:spPr>
                </pic:pic>
              </a:graphicData>
            </a:graphic>
          </wp:inline>
        </w:drawing>
      </w:r>
    </w:p>
    <w:p w14:paraId="049719E6" w14:textId="77777777" w:rsidR="00AE3E37" w:rsidRPr="000644FE" w:rsidRDefault="00AE3E37">
      <w:pPr>
        <w:pStyle w:val="BodyText"/>
        <w:spacing w:before="2"/>
        <w:rPr>
          <w:rFonts w:ascii="Calibri" w:hAnsi="Calibri"/>
          <w:b/>
          <w:sz w:val="16"/>
        </w:rPr>
      </w:pPr>
    </w:p>
    <w:p w14:paraId="33C93671" w14:textId="77777777" w:rsidR="005973B9" w:rsidRPr="000644FE" w:rsidRDefault="005973B9" w:rsidP="005973B9">
      <w:pPr>
        <w:spacing w:line="204" w:lineRule="exact"/>
        <w:rPr>
          <w:rFonts w:ascii="Calibri" w:hAnsi="Calibri"/>
          <w:b/>
          <w:sz w:val="24"/>
          <w:szCs w:val="24"/>
        </w:rPr>
      </w:pPr>
      <w:r w:rsidRPr="000644FE">
        <w:rPr>
          <w:rFonts w:ascii="Calibri" w:hAnsi="Calibri"/>
          <w:b/>
          <w:color w:val="BF5A14"/>
          <w:sz w:val="20"/>
        </w:rPr>
        <w:br/>
      </w:r>
      <w:r w:rsidRPr="000644FE">
        <w:rPr>
          <w:rFonts w:ascii="Calibri" w:hAnsi="Calibri"/>
          <w:b/>
          <w:color w:val="BF5A14"/>
          <w:sz w:val="24"/>
          <w:szCs w:val="24"/>
        </w:rPr>
        <w:t xml:space="preserve">Recent Publications </w:t>
      </w:r>
    </w:p>
    <w:p w14:paraId="493A5522" w14:textId="77777777" w:rsidR="009845A1" w:rsidRPr="000644FE" w:rsidRDefault="009845A1" w:rsidP="009845A1">
      <w:pPr>
        <w:pStyle w:val="ListParagraph"/>
        <w:widowControl/>
        <w:numPr>
          <w:ilvl w:val="0"/>
          <w:numId w:val="4"/>
        </w:numPr>
        <w:spacing w:before="0" w:after="200" w:line="240" w:lineRule="auto"/>
        <w:contextualSpacing/>
        <w:rPr>
          <w:sz w:val="16"/>
          <w:szCs w:val="16"/>
        </w:rPr>
      </w:pPr>
      <w:r w:rsidRPr="000644FE">
        <w:rPr>
          <w:sz w:val="16"/>
          <w:szCs w:val="16"/>
        </w:rPr>
        <w:t>Ting</w:t>
      </w:r>
      <w:r w:rsidRPr="000644FE">
        <w:rPr>
          <w:sz w:val="16"/>
          <w:szCs w:val="16"/>
        </w:rPr>
        <w:t>, F.I.</w:t>
      </w:r>
      <w:r w:rsidRPr="000644FE">
        <w:rPr>
          <w:sz w:val="16"/>
          <w:szCs w:val="16"/>
        </w:rPr>
        <w:t>, Campos</w:t>
      </w:r>
      <w:r w:rsidRPr="000644FE">
        <w:rPr>
          <w:sz w:val="16"/>
          <w:szCs w:val="16"/>
        </w:rPr>
        <w:t xml:space="preserve">, H.J., </w:t>
      </w:r>
      <w:r w:rsidRPr="000644FE">
        <w:rPr>
          <w:sz w:val="16"/>
          <w:szCs w:val="16"/>
        </w:rPr>
        <w:t>Riel</w:t>
      </w:r>
      <w:r w:rsidRPr="000644FE">
        <w:rPr>
          <w:sz w:val="16"/>
          <w:szCs w:val="16"/>
        </w:rPr>
        <w:t xml:space="preserve">, </w:t>
      </w:r>
      <w:proofErr w:type="gramStart"/>
      <w:r w:rsidRPr="000644FE">
        <w:rPr>
          <w:sz w:val="16"/>
          <w:szCs w:val="16"/>
        </w:rPr>
        <w:t>A.(</w:t>
      </w:r>
      <w:proofErr w:type="gramEnd"/>
      <w:r w:rsidRPr="000644FE">
        <w:rPr>
          <w:sz w:val="16"/>
          <w:szCs w:val="16"/>
        </w:rPr>
        <w:t>2015)</w:t>
      </w:r>
      <w:r w:rsidRPr="000644FE">
        <w:rPr>
          <w:sz w:val="16"/>
          <w:szCs w:val="16"/>
        </w:rPr>
        <w:t>.</w:t>
      </w:r>
      <w:r w:rsidRPr="000644FE">
        <w:rPr>
          <w:sz w:val="16"/>
          <w:szCs w:val="16"/>
        </w:rPr>
        <w:t xml:space="preserve"> </w:t>
      </w:r>
      <w:proofErr w:type="spellStart"/>
      <w:r w:rsidRPr="000644FE">
        <w:rPr>
          <w:i/>
          <w:sz w:val="16"/>
          <w:szCs w:val="16"/>
        </w:rPr>
        <w:t>Colo</w:t>
      </w:r>
      <w:proofErr w:type="spellEnd"/>
      <w:r w:rsidRPr="000644FE">
        <w:rPr>
          <w:i/>
          <w:sz w:val="16"/>
          <w:szCs w:val="16"/>
        </w:rPr>
        <w:t>-cutaneous Fistula Complicating Diverticulitis of the Sigmoid Colon after Appendectomy: A Case Report and Review of Literature</w:t>
      </w:r>
      <w:r w:rsidRPr="000644FE">
        <w:rPr>
          <w:sz w:val="16"/>
          <w:szCs w:val="16"/>
        </w:rPr>
        <w:t xml:space="preserve">. Presented to the Philippine College of Physicians Research Conference December 2015. </w:t>
      </w:r>
    </w:p>
    <w:p w14:paraId="5DE0C926" w14:textId="77777777" w:rsidR="009845A1" w:rsidRPr="000644FE" w:rsidRDefault="009845A1" w:rsidP="009845A1">
      <w:pPr>
        <w:pStyle w:val="ListParagraph"/>
        <w:widowControl/>
        <w:spacing w:before="0" w:after="200" w:line="240" w:lineRule="auto"/>
        <w:ind w:left="720" w:firstLine="0"/>
        <w:contextualSpacing/>
        <w:rPr>
          <w:sz w:val="16"/>
          <w:szCs w:val="16"/>
        </w:rPr>
      </w:pPr>
    </w:p>
    <w:p w14:paraId="1391A1CE" w14:textId="77777777" w:rsidR="009845A1" w:rsidRPr="000644FE" w:rsidRDefault="009845A1" w:rsidP="009845A1">
      <w:pPr>
        <w:pStyle w:val="ListParagraph"/>
        <w:widowControl/>
        <w:numPr>
          <w:ilvl w:val="0"/>
          <w:numId w:val="4"/>
        </w:numPr>
        <w:spacing w:before="0" w:line="240" w:lineRule="auto"/>
        <w:contextualSpacing/>
        <w:rPr>
          <w:sz w:val="16"/>
          <w:szCs w:val="24"/>
        </w:rPr>
      </w:pPr>
      <w:r w:rsidRPr="000644FE">
        <w:rPr>
          <w:sz w:val="16"/>
          <w:szCs w:val="24"/>
        </w:rPr>
        <w:t xml:space="preserve">Ting, F.I., </w:t>
      </w:r>
      <w:proofErr w:type="spellStart"/>
      <w:r w:rsidRPr="000644FE">
        <w:rPr>
          <w:sz w:val="16"/>
          <w:szCs w:val="24"/>
        </w:rPr>
        <w:t>Parreñas</w:t>
      </w:r>
      <w:proofErr w:type="spellEnd"/>
      <w:r w:rsidRPr="000644FE">
        <w:rPr>
          <w:sz w:val="16"/>
          <w:szCs w:val="24"/>
        </w:rPr>
        <w:t xml:space="preserve">, C., Palo, K., </w:t>
      </w:r>
      <w:proofErr w:type="spellStart"/>
      <w:r w:rsidRPr="000644FE">
        <w:rPr>
          <w:sz w:val="16"/>
          <w:szCs w:val="24"/>
        </w:rPr>
        <w:t>Seralde</w:t>
      </w:r>
      <w:proofErr w:type="spellEnd"/>
      <w:r w:rsidRPr="000644FE">
        <w:rPr>
          <w:sz w:val="16"/>
          <w:szCs w:val="24"/>
        </w:rPr>
        <w:t xml:space="preserve">, A., </w:t>
      </w:r>
      <w:proofErr w:type="spellStart"/>
      <w:r w:rsidRPr="000644FE">
        <w:rPr>
          <w:sz w:val="16"/>
          <w:szCs w:val="24"/>
        </w:rPr>
        <w:t>Yasa</w:t>
      </w:r>
      <w:proofErr w:type="spellEnd"/>
      <w:r w:rsidRPr="000644FE">
        <w:rPr>
          <w:sz w:val="16"/>
          <w:szCs w:val="24"/>
        </w:rPr>
        <w:t>, K., Yu, S.</w:t>
      </w:r>
      <w:r w:rsidRPr="000644FE">
        <w:rPr>
          <w:sz w:val="16"/>
          <w:szCs w:val="24"/>
        </w:rPr>
        <w:t xml:space="preserve"> (2012)</w:t>
      </w:r>
      <w:r w:rsidRPr="000644FE">
        <w:rPr>
          <w:sz w:val="16"/>
          <w:szCs w:val="24"/>
        </w:rPr>
        <w:t xml:space="preserve"> </w:t>
      </w:r>
      <w:r w:rsidRPr="000644FE">
        <w:rPr>
          <w:i/>
          <w:sz w:val="16"/>
          <w:szCs w:val="24"/>
        </w:rPr>
        <w:t>Perception and Knowledge of University of St. La Salle Students on the Uni</w:t>
      </w:r>
      <w:r w:rsidRPr="000644FE">
        <w:rPr>
          <w:i/>
          <w:sz w:val="16"/>
          <w:szCs w:val="24"/>
        </w:rPr>
        <w:t>versity’s Disaster Preparedness.</w:t>
      </w:r>
    </w:p>
    <w:p w14:paraId="54F91DFF" w14:textId="77777777" w:rsidR="009845A1" w:rsidRPr="000644FE" w:rsidRDefault="009845A1" w:rsidP="009845A1">
      <w:pPr>
        <w:widowControl/>
        <w:contextualSpacing/>
        <w:rPr>
          <w:rFonts w:ascii="Calibri" w:hAnsi="Calibri"/>
          <w:sz w:val="16"/>
          <w:szCs w:val="24"/>
        </w:rPr>
      </w:pPr>
    </w:p>
    <w:p w14:paraId="7400A862" w14:textId="77777777" w:rsidR="009845A1" w:rsidRPr="000644FE" w:rsidRDefault="009845A1" w:rsidP="009845A1">
      <w:pPr>
        <w:pStyle w:val="ListParagraph"/>
        <w:widowControl/>
        <w:numPr>
          <w:ilvl w:val="0"/>
          <w:numId w:val="4"/>
        </w:numPr>
        <w:spacing w:before="0" w:line="240" w:lineRule="auto"/>
        <w:contextualSpacing/>
        <w:rPr>
          <w:sz w:val="16"/>
          <w:szCs w:val="16"/>
        </w:rPr>
      </w:pPr>
      <w:r w:rsidRPr="000644FE">
        <w:rPr>
          <w:sz w:val="16"/>
          <w:szCs w:val="16"/>
        </w:rPr>
        <w:t xml:space="preserve">Ting, F.I., </w:t>
      </w:r>
      <w:proofErr w:type="spellStart"/>
      <w:r w:rsidRPr="000644FE">
        <w:rPr>
          <w:sz w:val="16"/>
          <w:szCs w:val="16"/>
        </w:rPr>
        <w:t>Calmerin</w:t>
      </w:r>
      <w:proofErr w:type="spellEnd"/>
      <w:r w:rsidRPr="000644FE">
        <w:rPr>
          <w:sz w:val="16"/>
          <w:szCs w:val="16"/>
        </w:rPr>
        <w:t xml:space="preserve">, E., del Rosario, B., Granada, M.E., </w:t>
      </w:r>
      <w:proofErr w:type="spellStart"/>
      <w:r w:rsidRPr="000644FE">
        <w:rPr>
          <w:sz w:val="16"/>
          <w:szCs w:val="16"/>
        </w:rPr>
        <w:t>Seralde</w:t>
      </w:r>
      <w:proofErr w:type="spellEnd"/>
      <w:r w:rsidRPr="000644FE">
        <w:rPr>
          <w:sz w:val="16"/>
          <w:szCs w:val="16"/>
        </w:rPr>
        <w:t xml:space="preserve">, A., </w:t>
      </w:r>
      <w:proofErr w:type="spellStart"/>
      <w:r w:rsidRPr="000644FE">
        <w:rPr>
          <w:sz w:val="16"/>
          <w:szCs w:val="16"/>
        </w:rPr>
        <w:t>Trespeces</w:t>
      </w:r>
      <w:proofErr w:type="spellEnd"/>
      <w:r w:rsidRPr="000644FE">
        <w:rPr>
          <w:sz w:val="16"/>
          <w:szCs w:val="16"/>
        </w:rPr>
        <w:t>, A.G.</w:t>
      </w:r>
      <w:r w:rsidRPr="000644FE">
        <w:rPr>
          <w:sz w:val="16"/>
          <w:szCs w:val="16"/>
        </w:rPr>
        <w:t xml:space="preserve"> (2011).</w:t>
      </w:r>
      <w:r w:rsidRPr="000644FE">
        <w:rPr>
          <w:sz w:val="16"/>
          <w:szCs w:val="16"/>
        </w:rPr>
        <w:t xml:space="preserve"> </w:t>
      </w:r>
      <w:r w:rsidRPr="000644FE">
        <w:rPr>
          <w:i/>
          <w:sz w:val="16"/>
          <w:szCs w:val="16"/>
        </w:rPr>
        <w:t>Water, Dug Wells, and People</w:t>
      </w:r>
      <w:r w:rsidRPr="000644FE">
        <w:rPr>
          <w:sz w:val="16"/>
          <w:szCs w:val="16"/>
        </w:rPr>
        <w:t>.</w:t>
      </w:r>
    </w:p>
    <w:p w14:paraId="5848B541" w14:textId="77777777" w:rsidR="000644FE" w:rsidRPr="000644FE" w:rsidRDefault="000644FE" w:rsidP="000644FE">
      <w:pPr>
        <w:widowControl/>
        <w:contextualSpacing/>
        <w:rPr>
          <w:rFonts w:ascii="Calibri" w:hAnsi="Calibri"/>
          <w:sz w:val="16"/>
          <w:szCs w:val="16"/>
        </w:rPr>
      </w:pPr>
    </w:p>
    <w:p w14:paraId="785E6FFA" w14:textId="77777777" w:rsidR="009845A1" w:rsidRPr="000644FE" w:rsidRDefault="009845A1" w:rsidP="009845A1">
      <w:pPr>
        <w:pStyle w:val="ListParagraph"/>
        <w:widowControl/>
        <w:numPr>
          <w:ilvl w:val="0"/>
          <w:numId w:val="4"/>
        </w:numPr>
        <w:spacing w:before="0" w:line="240" w:lineRule="auto"/>
        <w:contextualSpacing/>
        <w:rPr>
          <w:sz w:val="16"/>
          <w:szCs w:val="16"/>
        </w:rPr>
      </w:pPr>
      <w:r w:rsidRPr="000644FE">
        <w:rPr>
          <w:sz w:val="16"/>
          <w:szCs w:val="16"/>
        </w:rPr>
        <w:t xml:space="preserve">Ting, F.I., </w:t>
      </w:r>
      <w:proofErr w:type="spellStart"/>
      <w:r w:rsidRPr="000644FE">
        <w:rPr>
          <w:sz w:val="16"/>
          <w:szCs w:val="16"/>
        </w:rPr>
        <w:t>Calmerin</w:t>
      </w:r>
      <w:proofErr w:type="spellEnd"/>
      <w:r w:rsidRPr="000644FE">
        <w:rPr>
          <w:sz w:val="16"/>
          <w:szCs w:val="16"/>
        </w:rPr>
        <w:t xml:space="preserve">, E., del Rosario, B., Granada, M.E., </w:t>
      </w:r>
      <w:proofErr w:type="spellStart"/>
      <w:r w:rsidRPr="000644FE">
        <w:rPr>
          <w:sz w:val="16"/>
          <w:szCs w:val="16"/>
        </w:rPr>
        <w:t>Seralde</w:t>
      </w:r>
      <w:proofErr w:type="spellEnd"/>
      <w:r w:rsidRPr="000644FE">
        <w:rPr>
          <w:sz w:val="16"/>
          <w:szCs w:val="16"/>
        </w:rPr>
        <w:t xml:space="preserve">, A., </w:t>
      </w:r>
      <w:proofErr w:type="spellStart"/>
      <w:r w:rsidRPr="000644FE">
        <w:rPr>
          <w:sz w:val="16"/>
          <w:szCs w:val="16"/>
        </w:rPr>
        <w:t>Trespeces</w:t>
      </w:r>
      <w:proofErr w:type="spellEnd"/>
      <w:r w:rsidRPr="000644FE">
        <w:rPr>
          <w:sz w:val="16"/>
          <w:szCs w:val="16"/>
        </w:rPr>
        <w:t>, A.G.</w:t>
      </w:r>
      <w:r w:rsidRPr="000644FE">
        <w:rPr>
          <w:sz w:val="16"/>
          <w:szCs w:val="16"/>
        </w:rPr>
        <w:t xml:space="preserve"> (2011).</w:t>
      </w:r>
      <w:r w:rsidRPr="000644FE">
        <w:rPr>
          <w:sz w:val="16"/>
          <w:szCs w:val="16"/>
        </w:rPr>
        <w:t xml:space="preserve"> </w:t>
      </w:r>
      <w:r w:rsidRPr="000644FE">
        <w:rPr>
          <w:i/>
          <w:sz w:val="16"/>
          <w:szCs w:val="16"/>
        </w:rPr>
        <w:t xml:space="preserve">Physical and Chemical Properties of Water from Dug Wells at </w:t>
      </w:r>
      <w:proofErr w:type="spellStart"/>
      <w:r w:rsidRPr="000644FE">
        <w:rPr>
          <w:i/>
          <w:sz w:val="16"/>
          <w:szCs w:val="16"/>
        </w:rPr>
        <w:t>Purok</w:t>
      </w:r>
      <w:proofErr w:type="spellEnd"/>
      <w:r w:rsidRPr="000644FE">
        <w:rPr>
          <w:i/>
          <w:sz w:val="16"/>
          <w:szCs w:val="16"/>
        </w:rPr>
        <w:t xml:space="preserve"> </w:t>
      </w:r>
      <w:proofErr w:type="spellStart"/>
      <w:r w:rsidRPr="000644FE">
        <w:rPr>
          <w:i/>
          <w:sz w:val="16"/>
          <w:szCs w:val="16"/>
        </w:rPr>
        <w:t>Kaingin</w:t>
      </w:r>
      <w:proofErr w:type="spellEnd"/>
      <w:r w:rsidRPr="000644FE">
        <w:rPr>
          <w:i/>
          <w:sz w:val="16"/>
          <w:szCs w:val="16"/>
        </w:rPr>
        <w:t xml:space="preserve"> II, Barangay Punta </w:t>
      </w:r>
      <w:proofErr w:type="spellStart"/>
      <w:r w:rsidRPr="000644FE">
        <w:rPr>
          <w:i/>
          <w:sz w:val="16"/>
          <w:szCs w:val="16"/>
        </w:rPr>
        <w:t>Taytay</w:t>
      </w:r>
      <w:proofErr w:type="spellEnd"/>
      <w:r w:rsidRPr="000644FE">
        <w:rPr>
          <w:i/>
          <w:sz w:val="16"/>
          <w:szCs w:val="16"/>
        </w:rPr>
        <w:t>, Bacolod City, Negros Occidental</w:t>
      </w:r>
      <w:r w:rsidRPr="000644FE">
        <w:rPr>
          <w:sz w:val="16"/>
          <w:szCs w:val="16"/>
        </w:rPr>
        <w:t>, Philippines</w:t>
      </w:r>
      <w:r w:rsidRPr="000644FE">
        <w:rPr>
          <w:sz w:val="16"/>
          <w:szCs w:val="16"/>
        </w:rPr>
        <w:t>.</w:t>
      </w:r>
    </w:p>
    <w:p w14:paraId="59FAC334" w14:textId="77777777" w:rsidR="000644FE" w:rsidRPr="000644FE" w:rsidRDefault="000644FE" w:rsidP="000644FE">
      <w:pPr>
        <w:widowControl/>
        <w:contextualSpacing/>
        <w:rPr>
          <w:rFonts w:ascii="Calibri" w:hAnsi="Calibri"/>
          <w:sz w:val="16"/>
          <w:szCs w:val="16"/>
        </w:rPr>
      </w:pPr>
    </w:p>
    <w:p w14:paraId="041F85A0" w14:textId="77777777" w:rsidR="00AE3E37" w:rsidRPr="000644FE" w:rsidRDefault="000644FE" w:rsidP="000644FE">
      <w:pPr>
        <w:pStyle w:val="ListParagraph"/>
        <w:widowControl/>
        <w:numPr>
          <w:ilvl w:val="0"/>
          <w:numId w:val="4"/>
        </w:numPr>
        <w:spacing w:before="0" w:after="200" w:line="240" w:lineRule="auto"/>
        <w:contextualSpacing/>
        <w:rPr>
          <w:sz w:val="16"/>
          <w:szCs w:val="16"/>
        </w:rPr>
        <w:sectPr w:rsidR="00AE3E37" w:rsidRPr="000644FE">
          <w:type w:val="continuous"/>
          <w:pgSz w:w="11910" w:h="16840"/>
          <w:pgMar w:top="1740" w:right="600" w:bottom="840" w:left="620" w:header="720" w:footer="720" w:gutter="0"/>
          <w:cols w:num="2" w:space="720" w:equalWidth="0">
            <w:col w:w="5214" w:space="138"/>
            <w:col w:w="5338"/>
          </w:cols>
        </w:sectPr>
      </w:pPr>
      <w:r w:rsidRPr="000644FE">
        <w:rPr>
          <w:sz w:val="16"/>
          <w:szCs w:val="16"/>
        </w:rPr>
        <w:t xml:space="preserve">Ting, F.I., </w:t>
      </w:r>
      <w:proofErr w:type="spellStart"/>
      <w:r w:rsidRPr="000644FE">
        <w:rPr>
          <w:sz w:val="16"/>
          <w:szCs w:val="16"/>
        </w:rPr>
        <w:t>Abella</w:t>
      </w:r>
      <w:proofErr w:type="spellEnd"/>
      <w:r w:rsidRPr="000644FE">
        <w:rPr>
          <w:sz w:val="16"/>
          <w:szCs w:val="16"/>
        </w:rPr>
        <w:t xml:space="preserve">, M.K., Corrales, M.C., </w:t>
      </w:r>
      <w:proofErr w:type="spellStart"/>
      <w:r w:rsidRPr="000644FE">
        <w:rPr>
          <w:sz w:val="16"/>
          <w:szCs w:val="16"/>
        </w:rPr>
        <w:t>Centina</w:t>
      </w:r>
      <w:proofErr w:type="spellEnd"/>
      <w:r w:rsidRPr="000644FE">
        <w:rPr>
          <w:sz w:val="16"/>
          <w:szCs w:val="16"/>
        </w:rPr>
        <w:t xml:space="preserve">, M.K., </w:t>
      </w:r>
      <w:proofErr w:type="spellStart"/>
      <w:r w:rsidRPr="000644FE">
        <w:rPr>
          <w:sz w:val="16"/>
          <w:szCs w:val="16"/>
        </w:rPr>
        <w:t>Nonato</w:t>
      </w:r>
      <w:proofErr w:type="spellEnd"/>
      <w:r w:rsidRPr="000644FE">
        <w:rPr>
          <w:sz w:val="16"/>
          <w:szCs w:val="16"/>
        </w:rPr>
        <w:t>, R.J., Santos, F.</w:t>
      </w:r>
      <w:r w:rsidRPr="000644FE">
        <w:rPr>
          <w:sz w:val="16"/>
          <w:szCs w:val="16"/>
        </w:rPr>
        <w:t xml:space="preserve"> (2010).</w:t>
      </w:r>
      <w:r w:rsidRPr="000644FE">
        <w:rPr>
          <w:sz w:val="16"/>
          <w:szCs w:val="16"/>
        </w:rPr>
        <w:t xml:space="preserve"> </w:t>
      </w:r>
      <w:r w:rsidRPr="000644FE">
        <w:rPr>
          <w:i/>
          <w:sz w:val="16"/>
          <w:szCs w:val="16"/>
        </w:rPr>
        <w:t xml:space="preserve">The </w:t>
      </w:r>
      <w:proofErr w:type="spellStart"/>
      <w:r w:rsidRPr="000644FE">
        <w:rPr>
          <w:i/>
          <w:sz w:val="16"/>
          <w:szCs w:val="16"/>
        </w:rPr>
        <w:t>Hypocholesterolemic</w:t>
      </w:r>
      <w:proofErr w:type="spellEnd"/>
      <w:r w:rsidRPr="000644FE">
        <w:rPr>
          <w:i/>
          <w:sz w:val="16"/>
          <w:szCs w:val="16"/>
        </w:rPr>
        <w:t xml:space="preserve"> Effect of the Crude </w:t>
      </w:r>
      <w:proofErr w:type="spellStart"/>
      <w:r w:rsidRPr="000644FE">
        <w:rPr>
          <w:i/>
          <w:sz w:val="16"/>
          <w:szCs w:val="16"/>
        </w:rPr>
        <w:t>Methanolic</w:t>
      </w:r>
      <w:proofErr w:type="spellEnd"/>
      <w:r w:rsidRPr="000644FE">
        <w:rPr>
          <w:i/>
          <w:sz w:val="16"/>
          <w:szCs w:val="16"/>
        </w:rPr>
        <w:t xml:space="preserve"> Extract of Radish Leaves (</w:t>
      </w:r>
      <w:proofErr w:type="spellStart"/>
      <w:r w:rsidRPr="000644FE">
        <w:rPr>
          <w:i/>
          <w:sz w:val="16"/>
          <w:szCs w:val="16"/>
        </w:rPr>
        <w:t>Raphanus</w:t>
      </w:r>
      <w:proofErr w:type="spellEnd"/>
      <w:r w:rsidRPr="000644FE">
        <w:rPr>
          <w:i/>
          <w:sz w:val="16"/>
          <w:szCs w:val="16"/>
        </w:rPr>
        <w:t xml:space="preserve"> </w:t>
      </w:r>
      <w:proofErr w:type="spellStart"/>
      <w:r w:rsidRPr="000644FE">
        <w:rPr>
          <w:i/>
          <w:sz w:val="16"/>
          <w:szCs w:val="16"/>
        </w:rPr>
        <w:t>Sativus</w:t>
      </w:r>
      <w:proofErr w:type="spellEnd"/>
      <w:r w:rsidRPr="000644FE">
        <w:rPr>
          <w:i/>
          <w:sz w:val="16"/>
          <w:szCs w:val="16"/>
        </w:rPr>
        <w:t>) on the Total Cholesterol Level of Rabbits with Induced Hypercholesterolemia</w:t>
      </w:r>
      <w:r w:rsidRPr="000644FE">
        <w:rPr>
          <w:i/>
          <w:sz w:val="16"/>
          <w:szCs w:val="16"/>
        </w:rPr>
        <w:t>.</w:t>
      </w:r>
    </w:p>
    <w:p w14:paraId="4855F589" w14:textId="77777777" w:rsidR="00AE3E37" w:rsidRDefault="00AE3E37">
      <w:pPr>
        <w:pStyle w:val="BodyText"/>
        <w:rPr>
          <w:rFonts w:ascii="Calibri"/>
          <w:sz w:val="20"/>
        </w:rPr>
      </w:pPr>
    </w:p>
    <w:p w14:paraId="24B95B4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BFF9A5B" wp14:editId="77D180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688040"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5EF1904" w14:textId="77777777" w:rsidR="000644FE" w:rsidRPr="000644FE" w:rsidRDefault="000644FE" w:rsidP="000644FE">
      <w:pPr>
        <w:spacing w:before="92"/>
        <w:ind w:right="4234"/>
        <w:rPr>
          <w:rFonts w:ascii="Arial"/>
          <w:b/>
        </w:rPr>
      </w:pPr>
      <w:r w:rsidRPr="000644FE">
        <w:rPr>
          <w:b/>
          <w:noProof/>
        </w:rPr>
        <w:drawing>
          <wp:anchor distT="0" distB="0" distL="114300" distR="114300" simplePos="0" relativeHeight="251659264" behindDoc="0" locked="0" layoutInCell="1" allowOverlap="1" wp14:anchorId="3B38DAD9" wp14:editId="0F309698">
            <wp:simplePos x="0" y="0"/>
            <wp:positionH relativeFrom="column">
              <wp:posOffset>198755</wp:posOffset>
            </wp:positionH>
            <wp:positionV relativeFrom="paragraph">
              <wp:posOffset>84455</wp:posOffset>
            </wp:positionV>
            <wp:extent cx="691515" cy="728980"/>
            <wp:effectExtent l="0" t="0" r="0" b="7620"/>
            <wp:wrapTight wrapText="bothSides">
              <wp:wrapPolygon edited="0">
                <wp:start x="0" y="0"/>
                <wp:lineTo x="0" y="21073"/>
                <wp:lineTo x="20628" y="21073"/>
                <wp:lineTo x="20628" y="0"/>
                <wp:lineTo x="0" y="0"/>
              </wp:wrapPolygon>
            </wp:wrapTight>
            <wp:docPr id="4" name="Picture 4" descr="1900069_611573728933727_149526138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00069_611573728933727_1495261385_n"/>
                    <pic:cNvPicPr>
                      <a:picLocks noChangeAspect="1" noChangeArrowheads="1"/>
                    </pic:cNvPicPr>
                  </pic:nvPicPr>
                  <pic:blipFill>
                    <a:blip r:embed="rId11" cstate="print">
                      <a:extLst>
                        <a:ext uri="{28A0092B-C50C-407E-A947-70E740481C1C}">
                          <a14:useLocalDpi xmlns:a14="http://schemas.microsoft.com/office/drawing/2010/main" val="0"/>
                        </a:ext>
                      </a:extLst>
                    </a:blip>
                    <a:srcRect l="32523" t="32526" r="5191" b="20763"/>
                    <a:stretch>
                      <a:fillRect/>
                    </a:stretch>
                  </pic:blipFill>
                  <pic:spPr bwMode="auto">
                    <a:xfrm>
                      <a:off x="0" y="0"/>
                      <a:ext cx="691515" cy="72898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sidRPr="000644FE">
        <w:rPr>
          <w:rFonts w:ascii="Arial"/>
          <w:b/>
          <w:color w:val="BF5A14"/>
        </w:rPr>
        <w:t>Biography</w:t>
      </w:r>
      <w:r w:rsidR="00404E5B" w:rsidRPr="000644FE">
        <w:rPr>
          <w:rFonts w:ascii="Arial"/>
          <w:b/>
          <w:color w:val="BF5A14"/>
        </w:rPr>
        <w:t xml:space="preserve"> </w:t>
      </w:r>
    </w:p>
    <w:p w14:paraId="709F9C12" w14:textId="77777777" w:rsidR="000644FE" w:rsidRDefault="000644FE" w:rsidP="000644FE">
      <w:pPr>
        <w:ind w:left="215" w:right="232"/>
        <w:jc w:val="both"/>
        <w:rPr>
          <w:rFonts w:ascii="Calibri" w:hAnsi="Calibri"/>
          <w:sz w:val="16"/>
          <w:szCs w:val="20"/>
        </w:rPr>
      </w:pPr>
    </w:p>
    <w:p w14:paraId="363354DA" w14:textId="77777777" w:rsidR="000644FE" w:rsidRPr="000644FE" w:rsidRDefault="000644FE" w:rsidP="000644FE">
      <w:pPr>
        <w:ind w:left="215" w:right="232"/>
        <w:jc w:val="both"/>
        <w:rPr>
          <w:rFonts w:ascii="Calibri" w:hAnsi="Calibri"/>
          <w:sz w:val="16"/>
          <w:szCs w:val="20"/>
        </w:rPr>
      </w:pPr>
      <w:r w:rsidRPr="000644FE">
        <w:rPr>
          <w:rFonts w:ascii="Calibri" w:hAnsi="Calibri"/>
          <w:sz w:val="16"/>
          <w:szCs w:val="20"/>
        </w:rPr>
        <w:t>Frederic Ivan L. Ting, MD is a senior medical resident at the Dr. Pablo O. Torre Memorial Ho</w:t>
      </w:r>
      <w:bookmarkStart w:id="0" w:name="_GoBack"/>
      <w:bookmarkEnd w:id="0"/>
      <w:r w:rsidRPr="000644FE">
        <w:rPr>
          <w:rFonts w:ascii="Calibri" w:hAnsi="Calibri"/>
          <w:sz w:val="16"/>
          <w:szCs w:val="20"/>
        </w:rPr>
        <w:t xml:space="preserve">spital –a tertiary hospital in Bacolod City, Negros Occidental, Philippines. He is currently focusing on the art and science of Oncology, as he is amazed and inspired by the simple complexity of the discipline. </w:t>
      </w:r>
      <w:r w:rsidRPr="000644FE">
        <w:rPr>
          <w:rFonts w:ascii="Calibri" w:hAnsi="Calibri"/>
          <w:sz w:val="16"/>
          <w:szCs w:val="20"/>
        </w:rPr>
        <w:t>He aspires that one day he will fulfill his dream of serving the Filipino people as a medical oncologist, writer, and teacher.</w:t>
      </w:r>
    </w:p>
    <w:p w14:paraId="6A4B01D7" w14:textId="77777777" w:rsidR="00AE3E37" w:rsidRDefault="00A9710C">
      <w:pPr>
        <w:spacing w:before="62"/>
        <w:ind w:left="4217" w:right="4235"/>
        <w:jc w:val="center"/>
        <w:rPr>
          <w:rFonts w:ascii="Arial"/>
          <w:sz w:val="14"/>
        </w:rPr>
      </w:pPr>
      <w:r>
        <w:rPr>
          <w:rFonts w:ascii="Arial"/>
          <w:sz w:val="14"/>
        </w:rPr>
        <w:t xml:space="preserve">Email: </w:t>
      </w:r>
      <w:r w:rsidR="000644FE">
        <w:rPr>
          <w:rFonts w:ascii="Arial"/>
          <w:sz w:val="14"/>
        </w:rPr>
        <w:t>fredtingmd@gmail.com</w:t>
      </w:r>
    </w:p>
    <w:p w14:paraId="5A927C5B" w14:textId="77777777" w:rsidR="00AE3E37" w:rsidRPr="000644FE" w:rsidRDefault="00292ED9" w:rsidP="000644FE">
      <w:pPr>
        <w:pStyle w:val="BodyText"/>
        <w:spacing w:before="2"/>
        <w:rPr>
          <w:rFonts w:ascii="Arial"/>
          <w:sz w:val="19"/>
        </w:rPr>
        <w:sectPr w:rsidR="00AE3E37" w:rsidRPr="000644FE">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560DFDF0" wp14:editId="71D3CD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0B994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1EEC7" w14:textId="77777777" w:rsidR="00351E8E" w:rsidRDefault="00351E8E">
      <w:r>
        <w:separator/>
      </w:r>
    </w:p>
  </w:endnote>
  <w:endnote w:type="continuationSeparator" w:id="0">
    <w:p w14:paraId="5D20F853" w14:textId="77777777" w:rsidR="00351E8E" w:rsidRDefault="0035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03A87" w14:textId="77777777" w:rsidR="00AE3E37" w:rsidRPr="000644FE" w:rsidRDefault="00AE3E37">
    <w:pPr>
      <w:pStyle w:val="BodyText"/>
      <w:spacing w:line="14"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E0562" w14:textId="77777777" w:rsidR="00351E8E" w:rsidRDefault="00351E8E">
      <w:r>
        <w:separator/>
      </w:r>
    </w:p>
  </w:footnote>
  <w:footnote w:type="continuationSeparator" w:id="0">
    <w:p w14:paraId="7EC92E52" w14:textId="77777777" w:rsidR="00351E8E" w:rsidRDefault="00351E8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A1C91"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F4DB8"/>
    <w:multiLevelType w:val="hybridMultilevel"/>
    <w:tmpl w:val="9800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4FE"/>
    <w:rsid w:val="000E2911"/>
    <w:rsid w:val="001263DF"/>
    <w:rsid w:val="001E76C5"/>
    <w:rsid w:val="00292ED9"/>
    <w:rsid w:val="00351E8E"/>
    <w:rsid w:val="00404E5B"/>
    <w:rsid w:val="00414F7B"/>
    <w:rsid w:val="004355DC"/>
    <w:rsid w:val="004749B4"/>
    <w:rsid w:val="00494130"/>
    <w:rsid w:val="004F3523"/>
    <w:rsid w:val="005973B9"/>
    <w:rsid w:val="005B3A56"/>
    <w:rsid w:val="006060CE"/>
    <w:rsid w:val="0063497F"/>
    <w:rsid w:val="00873DF0"/>
    <w:rsid w:val="008756E6"/>
    <w:rsid w:val="009845A1"/>
    <w:rsid w:val="009B2D44"/>
    <w:rsid w:val="009D658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0CFC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3425</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2017-10-22T15:16:00Z</dcterms:created>
  <dcterms:modified xsi:type="dcterms:W3CDTF">2017-10-22T15:16:00Z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