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70378" w:rsidP="00494130">
      <w:pPr>
        <w:pStyle w:val="Heading1"/>
        <w:spacing w:before="170"/>
        <w:ind w:left="0"/>
      </w:pPr>
      <w:r>
        <w:rPr>
          <w:color w:val="337AB7"/>
        </w:rPr>
        <w:t>The tumor suppressor, p16</w:t>
      </w:r>
      <w:r w:rsidRPr="00514CC5">
        <w:rPr>
          <w:color w:val="337AB7"/>
          <w:vertAlign w:val="superscript"/>
        </w:rPr>
        <w:t>INK4a</w:t>
      </w:r>
      <w:r>
        <w:rPr>
          <w:color w:val="337AB7"/>
        </w:rPr>
        <w:t xml:space="preserve"> expression bypasses 17AAG mediated cellular effects in human </w:t>
      </w:r>
      <w:proofErr w:type="spellStart"/>
      <w:r>
        <w:rPr>
          <w:color w:val="337AB7"/>
        </w:rPr>
        <w:t>neuroblastoma</w:t>
      </w:r>
      <w:proofErr w:type="spellEnd"/>
      <w:r>
        <w:rPr>
          <w:color w:val="337AB7"/>
        </w:rPr>
        <w:t>, IMR-32</w:t>
      </w:r>
    </w:p>
    <w:p w:rsidR="00870378" w:rsidRDefault="00870378" w:rsidP="005973B9">
      <w:pPr>
        <w:pStyle w:val="BodyText"/>
        <w:spacing w:before="73" w:line="198" w:lineRule="exact"/>
        <w:ind w:left="100" w:right="5987"/>
        <w:rPr>
          <w:rFonts w:ascii="Arial"/>
        </w:rPr>
      </w:pPr>
      <w:proofErr w:type="spellStart"/>
      <w:r>
        <w:rPr>
          <w:rFonts w:ascii="Arial"/>
        </w:rPr>
        <w:t>Abhijnya</w:t>
      </w:r>
      <w:proofErr w:type="spellEnd"/>
      <w:r>
        <w:rPr>
          <w:rFonts w:ascii="Arial"/>
        </w:rPr>
        <w:t xml:space="preserve"> </w:t>
      </w:r>
      <w:proofErr w:type="spellStart"/>
      <w:r>
        <w:rPr>
          <w:rFonts w:ascii="Arial"/>
        </w:rPr>
        <w:t>KVV</w:t>
      </w:r>
      <w:r w:rsidR="005973B9">
        <w:rPr>
          <w:rFonts w:ascii="Arial"/>
        </w:rPr>
        <w:t>,</w:t>
      </w:r>
      <w:r>
        <w:rPr>
          <w:rFonts w:ascii="Arial"/>
        </w:rPr>
        <w:t>PhD</w:t>
      </w:r>
      <w:proofErr w:type="spellEnd"/>
      <w:r>
        <w:rPr>
          <w:rFonts w:ascii="Arial"/>
        </w:rPr>
        <w:t>-SRF, Centre for Cellular and Molecular Biology</w:t>
      </w:r>
      <w:r w:rsidR="005973B9">
        <w:rPr>
          <w:rFonts w:ascii="Arial"/>
        </w:rPr>
        <w:t xml:space="preserve">, </w:t>
      </w:r>
      <w:r>
        <w:rPr>
          <w:rFonts w:ascii="Arial"/>
        </w:rPr>
        <w:t>India</w:t>
      </w:r>
    </w:p>
    <w:p w:rsidR="005973B9" w:rsidRDefault="00870378" w:rsidP="005973B9">
      <w:pPr>
        <w:pStyle w:val="BodyText"/>
        <w:spacing w:before="73" w:line="198" w:lineRule="exact"/>
        <w:ind w:left="100" w:right="5987"/>
        <w:rPr>
          <w:rFonts w:ascii="Arial"/>
        </w:rPr>
      </w:pPr>
      <w:proofErr w:type="spellStart"/>
      <w:r>
        <w:rPr>
          <w:rFonts w:ascii="Arial"/>
        </w:rPr>
        <w:t>Sreedhar</w:t>
      </w:r>
      <w:proofErr w:type="spellEnd"/>
      <w:r>
        <w:rPr>
          <w:rFonts w:ascii="Arial"/>
        </w:rPr>
        <w:t xml:space="preserve"> AS</w:t>
      </w:r>
      <w:r w:rsidR="005973B9">
        <w:rPr>
          <w:rFonts w:ascii="Arial"/>
        </w:rPr>
        <w:t>,</w:t>
      </w:r>
      <w:r>
        <w:rPr>
          <w:rFonts w:ascii="Arial"/>
        </w:rPr>
        <w:t xml:space="preserve"> PhD, </w:t>
      </w:r>
      <w:r w:rsidRPr="00870378">
        <w:rPr>
          <w:rFonts w:ascii="Arial"/>
        </w:rPr>
        <w:t>Centre for Cellular and Molecular Biology,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Pr="0085378E" w:rsidRDefault="00870378" w:rsidP="00794CF1">
      <w:pPr>
        <w:pStyle w:val="Heading3"/>
        <w:spacing w:before="74" w:line="360" w:lineRule="auto"/>
        <w:jc w:val="both"/>
        <w:rPr>
          <w:b w:val="0"/>
          <w:sz w:val="12"/>
        </w:rPr>
      </w:pPr>
      <w:r w:rsidRPr="0085378E">
        <w:rPr>
          <w:b w:val="0"/>
          <w:sz w:val="16"/>
        </w:rPr>
        <w:t>The cancer chaperone, Hsp90 has been identified as a molecular target for cancer treatment interfering majorly with the proliferative potential of cells. Tumor cells can bypass the effects of tumor suppressors either through a</w:t>
      </w:r>
      <w:r w:rsidR="00794CF1" w:rsidRPr="0085378E">
        <w:rPr>
          <w:b w:val="0"/>
          <w:sz w:val="16"/>
        </w:rPr>
        <w:t>ltered functions or deletions. W</w:t>
      </w:r>
      <w:r w:rsidRPr="0085378E">
        <w:rPr>
          <w:b w:val="0"/>
          <w:sz w:val="16"/>
        </w:rPr>
        <w:t>e show that tumor cells that get adapted to tu</w:t>
      </w:r>
      <w:r w:rsidR="00794CF1" w:rsidRPr="0085378E">
        <w:rPr>
          <w:b w:val="0"/>
          <w:sz w:val="16"/>
        </w:rPr>
        <w:t>mor suppressor</w:t>
      </w:r>
      <w:r w:rsidRPr="0085378E">
        <w:rPr>
          <w:b w:val="0"/>
          <w:sz w:val="16"/>
        </w:rPr>
        <w:t>, p16</w:t>
      </w:r>
      <w:r w:rsidRPr="0085378E">
        <w:rPr>
          <w:b w:val="0"/>
          <w:sz w:val="16"/>
          <w:vertAlign w:val="superscript"/>
        </w:rPr>
        <w:t>INK4a</w:t>
      </w:r>
      <w:r w:rsidRPr="0085378E">
        <w:rPr>
          <w:b w:val="0"/>
          <w:sz w:val="16"/>
        </w:rPr>
        <w:t xml:space="preserve"> </w:t>
      </w:r>
      <w:r w:rsidR="00794CF1" w:rsidRPr="0085378E">
        <w:rPr>
          <w:b w:val="0"/>
          <w:sz w:val="16"/>
        </w:rPr>
        <w:t>circumvent</w:t>
      </w:r>
      <w:r w:rsidRPr="0085378E">
        <w:rPr>
          <w:b w:val="0"/>
          <w:sz w:val="16"/>
        </w:rPr>
        <w:t xml:space="preserve"> growth suppressing functions and bypass Hsp90 inhibition mediated cell killing. The inability of cells to respond to Hsp90 inhibitor, 17AAG was found to </w:t>
      </w:r>
      <w:r w:rsidR="00794CF1" w:rsidRPr="0085378E">
        <w:rPr>
          <w:b w:val="0"/>
          <w:sz w:val="16"/>
        </w:rPr>
        <w:t>be due to enhanced CDK6</w:t>
      </w:r>
      <w:r w:rsidRPr="0085378E">
        <w:rPr>
          <w:b w:val="0"/>
          <w:sz w:val="16"/>
        </w:rPr>
        <w:t xml:space="preserve"> dependent cell cycle regulation. Knocking down p16INK4a enhanced CDK6 dependent cell cycle regulation in NRAS and CRAF dependent manner associating with enhanced migration and invasion. p16</w:t>
      </w:r>
      <w:r w:rsidRPr="0085378E">
        <w:rPr>
          <w:b w:val="0"/>
          <w:sz w:val="16"/>
          <w:vertAlign w:val="superscript"/>
        </w:rPr>
        <w:t>INK4a</w:t>
      </w:r>
      <w:r w:rsidRPr="0085378E">
        <w:rPr>
          <w:b w:val="0"/>
          <w:sz w:val="16"/>
        </w:rPr>
        <w:t>KD cells then showed sensitivity to 17AAG by arresting at G1 phase of cell cycle and inhibiting cell migration and invasion. Further, p16</w:t>
      </w:r>
      <w:r w:rsidRPr="0085378E">
        <w:rPr>
          <w:b w:val="0"/>
          <w:sz w:val="16"/>
          <w:vertAlign w:val="superscript"/>
        </w:rPr>
        <w:t>INK4a</w:t>
      </w:r>
      <w:r w:rsidRPr="0085378E">
        <w:rPr>
          <w:b w:val="0"/>
          <w:sz w:val="16"/>
        </w:rPr>
        <w:t>KD cells showed increased p14ARF, a negative regulator of MDM2 activating DNA damage response (DDR) through p53 stabilization and accumulation of p21</w:t>
      </w:r>
      <w:r w:rsidRPr="0085378E">
        <w:rPr>
          <w:b w:val="0"/>
          <w:sz w:val="16"/>
          <w:vertAlign w:val="superscript"/>
        </w:rPr>
        <w:t>WAF1</w:t>
      </w:r>
      <w:r w:rsidR="00794CF1" w:rsidRPr="0085378E">
        <w:rPr>
          <w:b w:val="0"/>
          <w:sz w:val="16"/>
          <w:vertAlign w:val="superscript"/>
        </w:rPr>
        <w:t>/CIP1</w:t>
      </w:r>
      <w:r w:rsidRPr="0085378E">
        <w:rPr>
          <w:b w:val="0"/>
          <w:sz w:val="16"/>
        </w:rPr>
        <w:t>. Although activated DDR in the functional compromise</w:t>
      </w:r>
      <w:r w:rsidR="00794CF1" w:rsidRPr="0085378E">
        <w:rPr>
          <w:b w:val="0"/>
          <w:sz w:val="16"/>
        </w:rPr>
        <w:t xml:space="preserve"> of Hsp90 induces</w:t>
      </w:r>
      <w:r w:rsidRPr="0085378E">
        <w:rPr>
          <w:b w:val="0"/>
          <w:sz w:val="16"/>
        </w:rPr>
        <w:t xml:space="preserve"> </w:t>
      </w:r>
      <w:proofErr w:type="spellStart"/>
      <w:r w:rsidRPr="0085378E">
        <w:rPr>
          <w:b w:val="0"/>
          <w:sz w:val="16"/>
        </w:rPr>
        <w:t>cytotoxicity</w:t>
      </w:r>
      <w:proofErr w:type="spellEnd"/>
      <w:r w:rsidRPr="0085378E">
        <w:rPr>
          <w:b w:val="0"/>
          <w:sz w:val="16"/>
        </w:rPr>
        <w:t xml:space="preserve">, we observed activation of cellular senescence, an alternative strategy to combat cancer. The </w:t>
      </w:r>
      <w:r w:rsidRPr="0085378E">
        <w:rPr>
          <w:b w:val="0"/>
          <w:i/>
          <w:sz w:val="16"/>
        </w:rPr>
        <w:t>in vitro</w:t>
      </w:r>
      <w:r w:rsidRPr="0085378E">
        <w:rPr>
          <w:b w:val="0"/>
          <w:sz w:val="16"/>
        </w:rPr>
        <w:t xml:space="preserve"> findings</w:t>
      </w:r>
      <w:r w:rsidR="00FD3079">
        <w:rPr>
          <w:b w:val="0"/>
          <w:sz w:val="16"/>
        </w:rPr>
        <w:t xml:space="preserve"> are being</w:t>
      </w:r>
      <w:r w:rsidRPr="0085378E">
        <w:rPr>
          <w:b w:val="0"/>
          <w:sz w:val="16"/>
        </w:rPr>
        <w:t xml:space="preserve"> evaluated </w:t>
      </w:r>
      <w:r w:rsidRPr="0085378E">
        <w:rPr>
          <w:b w:val="0"/>
          <w:i/>
          <w:sz w:val="16"/>
        </w:rPr>
        <w:t>in vivo</w:t>
      </w:r>
      <w:r w:rsidRPr="0085378E">
        <w:rPr>
          <w:b w:val="0"/>
          <w:sz w:val="16"/>
        </w:rPr>
        <w:t xml:space="preserve"> using mice </w:t>
      </w:r>
      <w:r w:rsidR="00FD3079">
        <w:rPr>
          <w:b w:val="0"/>
          <w:sz w:val="16"/>
        </w:rPr>
        <w:t>to</w:t>
      </w:r>
      <w:r w:rsidR="00794CF1" w:rsidRPr="0085378E">
        <w:rPr>
          <w:b w:val="0"/>
          <w:sz w:val="16"/>
        </w:rPr>
        <w:t xml:space="preserve"> affirm</w:t>
      </w:r>
      <w:r w:rsidR="008878D0" w:rsidRPr="0085378E">
        <w:rPr>
          <w:b w:val="0"/>
          <w:sz w:val="16"/>
        </w:rPr>
        <w:t xml:space="preserve"> the anti-tumor effects</w:t>
      </w:r>
      <w:r w:rsidR="00794CF1" w:rsidRPr="0085378E">
        <w:rPr>
          <w:b w:val="0"/>
          <w:sz w:val="16"/>
        </w:rPr>
        <w:t xml:space="preserve"> of our treatment</w:t>
      </w:r>
      <w:r w:rsidR="00FD3079">
        <w:rPr>
          <w:b w:val="0"/>
          <w:sz w:val="16"/>
        </w:rPr>
        <w:t xml:space="preserve">. Our results thus, </w:t>
      </w:r>
      <w:r w:rsidR="008878D0" w:rsidRPr="0085378E">
        <w:rPr>
          <w:b w:val="0"/>
          <w:sz w:val="16"/>
        </w:rPr>
        <w:t xml:space="preserve">have implications in anti-cancer therapeutics specifically against tumor cells that survive </w:t>
      </w:r>
      <w:r w:rsidR="00794CF1" w:rsidRPr="0085378E">
        <w:rPr>
          <w:b w:val="0"/>
          <w:sz w:val="16"/>
        </w:rPr>
        <w:t xml:space="preserve">despite </w:t>
      </w:r>
      <w:r w:rsidR="008878D0" w:rsidRPr="0085378E">
        <w:rPr>
          <w:b w:val="0"/>
          <w:sz w:val="16"/>
        </w:rPr>
        <w:t>tumor suppressor expression.</w:t>
      </w:r>
      <w:r w:rsidR="00A9710C" w:rsidRPr="0085378E">
        <w:rPr>
          <w:b w:val="0"/>
          <w:sz w:val="16"/>
        </w:rPr>
        <w:br w:type="column"/>
      </w:r>
    </w:p>
    <w:p w:rsidR="005973B9" w:rsidRDefault="005973B9" w:rsidP="005973B9">
      <w:pPr>
        <w:spacing w:line="204" w:lineRule="exact"/>
        <w:rPr>
          <w:rFonts w:ascii="Arial"/>
          <w:b/>
          <w:sz w:val="20"/>
        </w:rPr>
      </w:pPr>
      <w:r>
        <w:rPr>
          <w:rFonts w:ascii="Arial"/>
          <w:b/>
          <w:color w:val="BF5A14"/>
          <w:sz w:val="20"/>
        </w:rPr>
        <w:br/>
      </w:r>
      <w:r w:rsidR="00794CF1">
        <w:rPr>
          <w:rFonts w:ascii="Arial"/>
          <w:b/>
          <w:color w:val="BF5A14"/>
          <w:sz w:val="20"/>
        </w:rPr>
        <w:t xml:space="preserve"> </w:t>
      </w:r>
      <w:r>
        <w:rPr>
          <w:rFonts w:ascii="Arial"/>
          <w:b/>
          <w:color w:val="BF5A14"/>
          <w:sz w:val="20"/>
        </w:rPr>
        <w:t>Recent Publications</w:t>
      </w:r>
    </w:p>
    <w:p w:rsidR="00514CC5" w:rsidRDefault="00514CC5" w:rsidP="005973B9">
      <w:pPr>
        <w:pStyle w:val="ListParagraph"/>
        <w:numPr>
          <w:ilvl w:val="0"/>
          <w:numId w:val="3"/>
        </w:numPr>
        <w:tabs>
          <w:tab w:val="left" w:pos="384"/>
        </w:tabs>
        <w:spacing w:before="103" w:line="216" w:lineRule="exact"/>
        <w:ind w:right="138" w:hanging="283"/>
        <w:rPr>
          <w:sz w:val="18"/>
        </w:rPr>
      </w:pPr>
      <w:proofErr w:type="spellStart"/>
      <w:r w:rsidRPr="00514CC5">
        <w:rPr>
          <w:sz w:val="18"/>
        </w:rPr>
        <w:t>Abhijnya</w:t>
      </w:r>
      <w:proofErr w:type="spellEnd"/>
      <w:r w:rsidRPr="00514CC5">
        <w:rPr>
          <w:sz w:val="18"/>
        </w:rPr>
        <w:t xml:space="preserve"> KVV (2015) The </w:t>
      </w:r>
      <w:proofErr w:type="spellStart"/>
      <w:r w:rsidRPr="00514CC5">
        <w:rPr>
          <w:sz w:val="18"/>
        </w:rPr>
        <w:t>prosurvival</w:t>
      </w:r>
      <w:proofErr w:type="spellEnd"/>
      <w:r w:rsidRPr="00514CC5">
        <w:rPr>
          <w:sz w:val="18"/>
        </w:rPr>
        <w:t xml:space="preserve"> activity of HSF2 in response to </w:t>
      </w:r>
      <w:proofErr w:type="spellStart"/>
      <w:r w:rsidRPr="00514CC5">
        <w:rPr>
          <w:sz w:val="18"/>
        </w:rPr>
        <w:t>autophagic</w:t>
      </w:r>
      <w:proofErr w:type="spellEnd"/>
      <w:r w:rsidRPr="00514CC5">
        <w:rPr>
          <w:sz w:val="18"/>
        </w:rPr>
        <w:t xml:space="preserve"> stress is triggered by HSF2 - dependent </w:t>
      </w:r>
      <w:proofErr w:type="spellStart"/>
      <w:r w:rsidRPr="00514CC5">
        <w:rPr>
          <w:sz w:val="18"/>
        </w:rPr>
        <w:t>transactivation</w:t>
      </w:r>
      <w:proofErr w:type="spellEnd"/>
      <w:r w:rsidRPr="00514CC5">
        <w:rPr>
          <w:sz w:val="18"/>
        </w:rPr>
        <w:t xml:space="preserve"> of BTG2. Mol </w:t>
      </w:r>
      <w:proofErr w:type="spellStart"/>
      <w:r w:rsidRPr="00514CC5">
        <w:rPr>
          <w:sz w:val="18"/>
        </w:rPr>
        <w:t>Biol</w:t>
      </w:r>
      <w:proofErr w:type="spellEnd"/>
      <w:r w:rsidRPr="00514CC5">
        <w:rPr>
          <w:sz w:val="18"/>
        </w:rPr>
        <w:t xml:space="preserve"> Cell, 26(25): 4523,doi: 10.1091/mbc.E15-09-0674</w:t>
      </w:r>
      <w:r>
        <w:rPr>
          <w:sz w:val="18"/>
        </w:rPr>
        <w:t>.</w:t>
      </w:r>
    </w:p>
    <w:p w:rsidR="00514CC5" w:rsidRPr="00514CC5" w:rsidRDefault="00514CC5" w:rsidP="005973B9">
      <w:pPr>
        <w:pStyle w:val="ListParagraph"/>
        <w:numPr>
          <w:ilvl w:val="0"/>
          <w:numId w:val="3"/>
        </w:numPr>
        <w:tabs>
          <w:tab w:val="left" w:pos="384"/>
        </w:tabs>
        <w:spacing w:before="103" w:line="216" w:lineRule="exact"/>
        <w:ind w:right="138" w:hanging="283"/>
        <w:rPr>
          <w:sz w:val="18"/>
        </w:rPr>
      </w:pPr>
      <w:proofErr w:type="spellStart"/>
      <w:r>
        <w:rPr>
          <w:sz w:val="18"/>
        </w:rPr>
        <w:t>Abhijnya</w:t>
      </w:r>
      <w:proofErr w:type="spellEnd"/>
      <w:r>
        <w:rPr>
          <w:sz w:val="18"/>
        </w:rPr>
        <w:t xml:space="preserve"> KVV (2014) </w:t>
      </w:r>
      <w:proofErr w:type="spellStart"/>
      <w:r w:rsidRPr="00514CC5">
        <w:rPr>
          <w:sz w:val="18"/>
        </w:rPr>
        <w:t>Oncogene</w:t>
      </w:r>
      <w:proofErr w:type="spellEnd"/>
      <w:r w:rsidRPr="00514CC5">
        <w:rPr>
          <w:sz w:val="18"/>
        </w:rPr>
        <w:t xml:space="preserve"> de-addiction from Hsp90 induces senescence-like phenotype in malignant and metastatic tumor cells</w:t>
      </w:r>
      <w:r>
        <w:rPr>
          <w:sz w:val="18"/>
        </w:rPr>
        <w:t xml:space="preserve">. Mol </w:t>
      </w:r>
      <w:proofErr w:type="spellStart"/>
      <w:r>
        <w:rPr>
          <w:sz w:val="18"/>
        </w:rPr>
        <w:t>Biol</w:t>
      </w:r>
      <w:proofErr w:type="spellEnd"/>
      <w:r>
        <w:rPr>
          <w:sz w:val="18"/>
        </w:rPr>
        <w:t xml:space="preserve"> Cell. </w:t>
      </w:r>
      <w:r w:rsidRPr="00514CC5">
        <w:rPr>
          <w:sz w:val="18"/>
        </w:rPr>
        <w:t>25, p 25 3987,doi:10.1091/mbc.E14-10-1437</w:t>
      </w:r>
      <w:r>
        <w:rPr>
          <w:sz w:val="18"/>
        </w:rPr>
        <w:t>.</w:t>
      </w:r>
    </w:p>
    <w:p w:rsidR="00514CC5" w:rsidRDefault="00514CC5" w:rsidP="005973B9">
      <w:pPr>
        <w:pStyle w:val="ListParagraph"/>
        <w:numPr>
          <w:ilvl w:val="0"/>
          <w:numId w:val="3"/>
        </w:numPr>
        <w:tabs>
          <w:tab w:val="left" w:pos="384"/>
        </w:tabs>
        <w:spacing w:before="103" w:line="216" w:lineRule="exact"/>
        <w:ind w:right="138" w:hanging="283"/>
        <w:rPr>
          <w:sz w:val="18"/>
        </w:rPr>
      </w:pPr>
      <w:proofErr w:type="spellStart"/>
      <w:r w:rsidRPr="00514CC5">
        <w:rPr>
          <w:sz w:val="18"/>
        </w:rPr>
        <w:t>Sarangi</w:t>
      </w:r>
      <w:proofErr w:type="spellEnd"/>
      <w:r w:rsidRPr="00514CC5">
        <w:rPr>
          <w:sz w:val="18"/>
        </w:rPr>
        <w:t xml:space="preserve"> U (2013) Hsp60 </w:t>
      </w:r>
      <w:proofErr w:type="spellStart"/>
      <w:r w:rsidRPr="00514CC5">
        <w:rPr>
          <w:sz w:val="18"/>
        </w:rPr>
        <w:t>chaperonin</w:t>
      </w:r>
      <w:proofErr w:type="spellEnd"/>
      <w:r w:rsidRPr="00514CC5">
        <w:rPr>
          <w:sz w:val="18"/>
        </w:rPr>
        <w:t xml:space="preserve"> acts as barrier to pharmacologically induced oxidative stress mediated apoptosis in tumor cells with differential stress response.</w:t>
      </w:r>
      <w:r w:rsidRPr="00514CC5">
        <w:t xml:space="preserve"> </w:t>
      </w:r>
      <w:r>
        <w:rPr>
          <w:sz w:val="18"/>
        </w:rPr>
        <w:t xml:space="preserve">Drug Target Insights </w:t>
      </w:r>
      <w:r w:rsidRPr="00514CC5">
        <w:rPr>
          <w:sz w:val="18"/>
        </w:rPr>
        <w:t>7:</w:t>
      </w:r>
      <w:r>
        <w:rPr>
          <w:sz w:val="18"/>
        </w:rPr>
        <w:t xml:space="preserve"> 35-51.</w:t>
      </w:r>
    </w:p>
    <w:p w:rsidR="00514CC5" w:rsidRDefault="00514CC5" w:rsidP="005973B9">
      <w:pPr>
        <w:pStyle w:val="ListParagraph"/>
        <w:numPr>
          <w:ilvl w:val="0"/>
          <w:numId w:val="3"/>
        </w:numPr>
        <w:tabs>
          <w:tab w:val="left" w:pos="384"/>
        </w:tabs>
        <w:spacing w:before="103" w:line="216" w:lineRule="exact"/>
        <w:ind w:right="138" w:hanging="283"/>
        <w:rPr>
          <w:sz w:val="18"/>
        </w:rPr>
      </w:pPr>
      <w:proofErr w:type="spellStart"/>
      <w:r>
        <w:rPr>
          <w:sz w:val="18"/>
        </w:rPr>
        <w:t>Abhijnya</w:t>
      </w:r>
      <w:proofErr w:type="spellEnd"/>
      <w:r>
        <w:rPr>
          <w:sz w:val="18"/>
        </w:rPr>
        <w:t xml:space="preserve"> KVV (2012) </w:t>
      </w:r>
      <w:r w:rsidRPr="00514CC5">
        <w:rPr>
          <w:sz w:val="18"/>
        </w:rPr>
        <w:t>Heat shock proteins in the cancer immunity: comprehensive review on potential chemotherapeutic interventions</w:t>
      </w:r>
      <w:r>
        <w:rPr>
          <w:sz w:val="18"/>
        </w:rPr>
        <w:t xml:space="preserve">. J. </w:t>
      </w:r>
      <w:proofErr w:type="spellStart"/>
      <w:r>
        <w:rPr>
          <w:sz w:val="18"/>
        </w:rPr>
        <w:t>Clin</w:t>
      </w:r>
      <w:proofErr w:type="spellEnd"/>
      <w:r>
        <w:rPr>
          <w:sz w:val="18"/>
        </w:rPr>
        <w:t xml:space="preserve">. Cell. </w:t>
      </w:r>
      <w:proofErr w:type="spellStart"/>
      <w:r>
        <w:rPr>
          <w:sz w:val="18"/>
        </w:rPr>
        <w:t>Immunol</w:t>
      </w:r>
      <w:proofErr w:type="spellEnd"/>
      <w:r>
        <w:rPr>
          <w:sz w:val="18"/>
        </w:rPr>
        <w:t xml:space="preserve"> 6: 1-8.</w:t>
      </w:r>
    </w:p>
    <w:p w:rsidR="00514CC5" w:rsidRDefault="00514CC5" w:rsidP="005973B9">
      <w:pPr>
        <w:pStyle w:val="ListParagraph"/>
        <w:numPr>
          <w:ilvl w:val="0"/>
          <w:numId w:val="3"/>
        </w:numPr>
        <w:tabs>
          <w:tab w:val="left" w:pos="384"/>
        </w:tabs>
        <w:spacing w:before="103" w:line="216" w:lineRule="exact"/>
        <w:ind w:right="138" w:hanging="283"/>
        <w:rPr>
          <w:sz w:val="18"/>
        </w:rPr>
      </w:pPr>
      <w:proofErr w:type="spellStart"/>
      <w:r>
        <w:rPr>
          <w:sz w:val="18"/>
        </w:rPr>
        <w:t>Chitra</w:t>
      </w:r>
      <w:proofErr w:type="spellEnd"/>
      <w:r>
        <w:rPr>
          <w:sz w:val="18"/>
        </w:rPr>
        <w:t xml:space="preserve"> J (2016) </w:t>
      </w:r>
      <w:r w:rsidRPr="00514CC5">
        <w:rPr>
          <w:sz w:val="18"/>
        </w:rPr>
        <w:t>p16</w:t>
      </w:r>
      <w:r w:rsidRPr="00514CC5">
        <w:rPr>
          <w:sz w:val="18"/>
          <w:vertAlign w:val="superscript"/>
        </w:rPr>
        <w:t>INK4a</w:t>
      </w:r>
      <w:r w:rsidRPr="00514CC5">
        <w:rPr>
          <w:sz w:val="18"/>
        </w:rPr>
        <w:t xml:space="preserve"> ex</w:t>
      </w:r>
      <w:r>
        <w:rPr>
          <w:sz w:val="18"/>
        </w:rPr>
        <w:t>pression bypasses 17AAG</w:t>
      </w:r>
      <w:r w:rsidRPr="00514CC5">
        <w:rPr>
          <w:sz w:val="18"/>
        </w:rPr>
        <w:t xml:space="preserve"> </w:t>
      </w:r>
      <w:r>
        <w:rPr>
          <w:sz w:val="18"/>
        </w:rPr>
        <w:t xml:space="preserve">induced cellular senescence in </w:t>
      </w:r>
      <w:proofErr w:type="spellStart"/>
      <w:r w:rsidRPr="00514CC5">
        <w:rPr>
          <w:sz w:val="18"/>
        </w:rPr>
        <w:t>neuroblastoma</w:t>
      </w:r>
      <w:proofErr w:type="spellEnd"/>
      <w:r w:rsidRPr="00514CC5">
        <w:rPr>
          <w:sz w:val="18"/>
        </w:rPr>
        <w:t>, IMR-32</w:t>
      </w:r>
      <w:r>
        <w:rPr>
          <w:sz w:val="18"/>
        </w:rPr>
        <w:t xml:space="preserve"> </w:t>
      </w:r>
      <w:r w:rsidRPr="00514CC5">
        <w:rPr>
          <w:i/>
          <w:sz w:val="18"/>
        </w:rPr>
        <w:t>(in press)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1F1AFC">
      <w:pPr>
        <w:pStyle w:val="BodyText"/>
        <w:spacing w:line="40" w:lineRule="exact"/>
        <w:ind w:left="2202"/>
        <w:rPr>
          <w:rFonts w:ascii="Calibri"/>
          <w:sz w:val="4"/>
        </w:rPr>
      </w:pPr>
      <w:r>
        <w:rPr>
          <w:rFonts w:ascii="Calibri"/>
          <w:noProof/>
          <w:sz w:val="4"/>
          <w:lang w:val="en-IN" w:eastAsia="en-IN"/>
        </w:rPr>
      </w:r>
      <w:r w:rsidRPr="001F1AF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5378E" w:rsidP="0085378E">
      <w:pPr>
        <w:spacing w:before="92"/>
        <w:ind w:right="4234"/>
        <w:jc w:val="both"/>
        <w:rPr>
          <w:rFonts w:ascii="Arial"/>
        </w:rPr>
      </w:pPr>
      <w:r>
        <w:rPr>
          <w:noProof/>
        </w:rPr>
        <w:t xml:space="preserve">    </w:t>
      </w:r>
      <w:r w:rsidRPr="0085378E">
        <w:rPr>
          <w:noProof/>
          <w:lang w:val="en-IN" w:eastAsia="en-IN"/>
        </w:rPr>
        <w:drawing>
          <wp:inline distT="0" distB="0" distL="0" distR="0">
            <wp:extent cx="778779" cy="787265"/>
            <wp:effectExtent l="19050" t="0" r="2271" b="0"/>
            <wp:docPr id="4" name="Picture 3" descr="C:\Users\kanugovi abhijnya\Pictures\family\DSCN4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nugovi abhijnya\Pictures\family\DSCN4615.JPG"/>
                    <pic:cNvPicPr>
                      <a:picLocks noChangeAspect="1" noChangeArrowheads="1"/>
                    </pic:cNvPicPr>
                  </pic:nvPicPr>
                  <pic:blipFill>
                    <a:blip r:embed="rId9" cstate="print"/>
                    <a:srcRect l="26690" t="10700" r="33869" b="36008"/>
                    <a:stretch>
                      <a:fillRect/>
                    </a:stretch>
                  </pic:blipFill>
                  <pic:spPr bwMode="auto">
                    <a:xfrm>
                      <a:off x="0" y="0"/>
                      <a:ext cx="780481" cy="788986"/>
                    </a:xfrm>
                    <a:prstGeom prst="rect">
                      <a:avLst/>
                    </a:prstGeom>
                    <a:noFill/>
                    <a:ln w="9525">
                      <a:noFill/>
                      <a:miter lim="800000"/>
                      <a:headEnd/>
                      <a:tailEnd/>
                    </a:ln>
                  </pic:spPr>
                </pic:pic>
              </a:graphicData>
            </a:graphic>
          </wp:inline>
        </w:drawing>
      </w:r>
      <w:r w:rsidR="00A9710C">
        <w:rPr>
          <w:rFonts w:ascii="Arial"/>
          <w:color w:val="BF5A14"/>
        </w:rPr>
        <w:t>Biography</w:t>
      </w:r>
    </w:p>
    <w:p w:rsidR="0085378E" w:rsidRDefault="00514CC5" w:rsidP="0085378E">
      <w:pPr>
        <w:spacing w:before="41" w:line="154" w:lineRule="exact"/>
        <w:ind w:left="213" w:right="231"/>
        <w:jc w:val="both"/>
        <w:rPr>
          <w:rFonts w:ascii="Arial"/>
          <w:sz w:val="14"/>
        </w:rPr>
      </w:pPr>
      <w:proofErr w:type="spellStart"/>
      <w:r>
        <w:rPr>
          <w:rFonts w:ascii="Arial"/>
          <w:sz w:val="14"/>
        </w:rPr>
        <w:t>Abhijnya</w:t>
      </w:r>
      <w:proofErr w:type="spellEnd"/>
      <w:r>
        <w:rPr>
          <w:rFonts w:ascii="Arial"/>
          <w:sz w:val="14"/>
        </w:rPr>
        <w:t xml:space="preserve"> KVV</w:t>
      </w:r>
      <w:r w:rsidR="0085378E">
        <w:rPr>
          <w:rFonts w:ascii="Arial"/>
          <w:sz w:val="14"/>
        </w:rPr>
        <w:t xml:space="preserve"> has major research interest </w:t>
      </w:r>
      <w:r w:rsidR="0085378E" w:rsidRPr="0085378E">
        <w:rPr>
          <w:rFonts w:ascii="Arial"/>
          <w:sz w:val="14"/>
        </w:rPr>
        <w:t>in understanding the role of 'c</w:t>
      </w:r>
      <w:r w:rsidR="0085378E">
        <w:rPr>
          <w:rFonts w:ascii="Arial"/>
          <w:sz w:val="14"/>
        </w:rPr>
        <w:t>ancer chaperone, Hsp90' in tumo</w:t>
      </w:r>
      <w:r w:rsidR="0085378E" w:rsidRPr="0085378E">
        <w:rPr>
          <w:rFonts w:ascii="Arial"/>
          <w:sz w:val="14"/>
        </w:rPr>
        <w:t xml:space="preserve">r cell adaptations to stress. While several of </w:t>
      </w:r>
      <w:proofErr w:type="spellStart"/>
      <w:r w:rsidR="0085378E" w:rsidRPr="0085378E">
        <w:rPr>
          <w:rFonts w:ascii="Arial"/>
          <w:sz w:val="14"/>
        </w:rPr>
        <w:t>oncogenic</w:t>
      </w:r>
      <w:proofErr w:type="spellEnd"/>
      <w:r w:rsidR="0085378E" w:rsidRPr="0085378E">
        <w:rPr>
          <w:rFonts w:ascii="Arial"/>
          <w:sz w:val="14"/>
        </w:rPr>
        <w:t xml:space="preserve"> </w:t>
      </w:r>
      <w:proofErr w:type="spellStart"/>
      <w:r w:rsidR="0085378E" w:rsidRPr="0085378E">
        <w:rPr>
          <w:rFonts w:ascii="Arial"/>
          <w:sz w:val="14"/>
        </w:rPr>
        <w:t>kinases</w:t>
      </w:r>
      <w:proofErr w:type="spellEnd"/>
      <w:r w:rsidR="0085378E" w:rsidRPr="0085378E">
        <w:rPr>
          <w:rFonts w:ascii="Arial"/>
          <w:sz w:val="14"/>
        </w:rPr>
        <w:t xml:space="preserve"> are potential cli</w:t>
      </w:r>
      <w:r w:rsidR="0085378E">
        <w:rPr>
          <w:rFonts w:ascii="Arial"/>
          <w:sz w:val="14"/>
        </w:rPr>
        <w:t xml:space="preserve">ents of Hsp90, how Hsp90 helps </w:t>
      </w:r>
      <w:r w:rsidR="0085378E" w:rsidRPr="0085378E">
        <w:rPr>
          <w:rFonts w:ascii="Arial"/>
          <w:sz w:val="14"/>
        </w:rPr>
        <w:t xml:space="preserve">cells to adapt to single </w:t>
      </w:r>
      <w:proofErr w:type="spellStart"/>
      <w:r w:rsidR="0085378E" w:rsidRPr="0085378E">
        <w:rPr>
          <w:rFonts w:ascii="Arial"/>
          <w:sz w:val="14"/>
        </w:rPr>
        <w:t>kinase</w:t>
      </w:r>
      <w:proofErr w:type="spellEnd"/>
      <w:r w:rsidR="0085378E" w:rsidRPr="0085378E">
        <w:rPr>
          <w:rFonts w:ascii="Arial"/>
          <w:sz w:val="14"/>
        </w:rPr>
        <w:t xml:space="preserve"> mutations is an intriguing question. While addressing this question, I also intended to come out with inducing cellular senescence as a potential anticancer st</w:t>
      </w:r>
      <w:r w:rsidR="0085378E">
        <w:rPr>
          <w:rFonts w:ascii="Arial"/>
          <w:sz w:val="14"/>
        </w:rPr>
        <w:t>rategy. I have established tumo</w:t>
      </w:r>
      <w:r w:rsidR="0085378E" w:rsidRPr="0085378E">
        <w:rPr>
          <w:rFonts w:ascii="Arial"/>
          <w:sz w:val="14"/>
        </w:rPr>
        <w:t xml:space="preserve">r cells adapted to single mutation in </w:t>
      </w:r>
      <w:proofErr w:type="spellStart"/>
      <w:r w:rsidR="0085378E" w:rsidRPr="0085378E">
        <w:rPr>
          <w:rFonts w:ascii="Arial"/>
          <w:sz w:val="14"/>
        </w:rPr>
        <w:t>Raf</w:t>
      </w:r>
      <w:proofErr w:type="spellEnd"/>
      <w:r w:rsidR="0085378E" w:rsidRPr="0085378E">
        <w:rPr>
          <w:rFonts w:ascii="Arial"/>
          <w:sz w:val="14"/>
        </w:rPr>
        <w:t xml:space="preserve"> using primary human cells  and uncovered how this mutated gene product activates Hsp90. Upon selective targeting of Hsp90 in these cells, they reverted from cancer progression back to senescence. Since the strategy I developed in the course of my study appears to be promising, I aim to bring about more such strategies either using a single Hsp90 inhibitor or in a combination against multiple types of cancers.</w:t>
      </w:r>
    </w:p>
    <w:p w:rsidR="00AE3E37" w:rsidRDefault="00A9710C" w:rsidP="0085378E">
      <w:pPr>
        <w:spacing w:before="41" w:line="154" w:lineRule="exact"/>
        <w:ind w:left="213" w:right="231"/>
        <w:jc w:val="center"/>
        <w:rPr>
          <w:rFonts w:ascii="Arial"/>
          <w:sz w:val="14"/>
        </w:rPr>
      </w:pPr>
      <w:r>
        <w:rPr>
          <w:rFonts w:ascii="Arial"/>
          <w:sz w:val="14"/>
        </w:rPr>
        <w:t xml:space="preserve">Email: </w:t>
      </w:r>
      <w:hyperlink r:id="rId10" w:history="1">
        <w:r w:rsidR="0085378E">
          <w:rPr>
            <w:rStyle w:val="Hyperlink"/>
            <w:rFonts w:ascii="Arial"/>
            <w:sz w:val="14"/>
          </w:rPr>
          <w:t>abhijnyak89@gmail.com</w:t>
        </w:r>
      </w:hyperlink>
    </w:p>
    <w:p w:rsidR="00AE3E37" w:rsidRDefault="001F1AFC">
      <w:pPr>
        <w:pStyle w:val="BodyText"/>
        <w:spacing w:before="2"/>
        <w:rPr>
          <w:rFonts w:ascii="Arial"/>
          <w:sz w:val="19"/>
        </w:rPr>
      </w:pPr>
      <w:r w:rsidRPr="001F1AF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5378E" w:rsidRDefault="0085378E">
      <w:pPr>
        <w:rPr>
          <w:rFonts w:ascii="Minion Pro"/>
          <w:sz w:val="24"/>
        </w:rPr>
        <w:sectPr w:rsidR="0085378E">
          <w:type w:val="continuous"/>
          <w:pgSz w:w="11910" w:h="16840"/>
          <w:pgMar w:top="1740" w:right="600" w:bottom="840" w:left="620" w:header="720" w:footer="720" w:gutter="0"/>
          <w:cols w:space="720"/>
        </w:sectPr>
      </w:pPr>
    </w:p>
    <w:p w:rsidR="00AE3E37" w:rsidRDefault="00AE3E37" w:rsidP="0085378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77A" w:rsidRDefault="0090377A">
      <w:r>
        <w:separator/>
      </w:r>
    </w:p>
  </w:endnote>
  <w:endnote w:type="continuationSeparator" w:id="0">
    <w:p w:rsidR="0090377A" w:rsidRDefault="009037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1AFC">
    <w:pPr>
      <w:pStyle w:val="BodyText"/>
      <w:spacing w:line="14" w:lineRule="auto"/>
      <w:rPr>
        <w:sz w:val="20"/>
      </w:rPr>
    </w:pPr>
    <w:r w:rsidRPr="001F1AF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F1AF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F1AF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77A" w:rsidRDefault="0090377A">
      <w:r>
        <w:separator/>
      </w:r>
    </w:p>
  </w:footnote>
  <w:footnote w:type="continuationSeparator" w:id="0">
    <w:p w:rsidR="0090377A" w:rsidRDefault="00903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1AFC">
    <w:pPr>
      <w:pStyle w:val="BodyText"/>
      <w:spacing w:line="14" w:lineRule="auto"/>
      <w:rPr>
        <w:sz w:val="20"/>
      </w:rPr>
    </w:pPr>
    <w:r w:rsidRPr="001F1AF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F1AF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D424A"/>
    <w:rsid w:val="001F1AFC"/>
    <w:rsid w:val="00292ED9"/>
    <w:rsid w:val="00404E5B"/>
    <w:rsid w:val="00414F7B"/>
    <w:rsid w:val="004355DC"/>
    <w:rsid w:val="004749B4"/>
    <w:rsid w:val="00494130"/>
    <w:rsid w:val="004F3523"/>
    <w:rsid w:val="00514CC5"/>
    <w:rsid w:val="005973B9"/>
    <w:rsid w:val="005B3A56"/>
    <w:rsid w:val="006060CE"/>
    <w:rsid w:val="0063497F"/>
    <w:rsid w:val="00794CF1"/>
    <w:rsid w:val="007C6F80"/>
    <w:rsid w:val="0085378E"/>
    <w:rsid w:val="00870378"/>
    <w:rsid w:val="00873DF0"/>
    <w:rsid w:val="008756E6"/>
    <w:rsid w:val="008878D0"/>
    <w:rsid w:val="0090377A"/>
    <w:rsid w:val="009B2D44"/>
    <w:rsid w:val="00A07E82"/>
    <w:rsid w:val="00A81EFD"/>
    <w:rsid w:val="00A9710C"/>
    <w:rsid w:val="00AE3E37"/>
    <w:rsid w:val="00B21A57"/>
    <w:rsid w:val="00C33602"/>
    <w:rsid w:val="00CD6F55"/>
    <w:rsid w:val="00CF548C"/>
    <w:rsid w:val="00DE3104"/>
    <w:rsid w:val="00F72EEA"/>
    <w:rsid w:val="00F8069B"/>
    <w:rsid w:val="00F84CAE"/>
    <w:rsid w:val="00FD307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kanugovi abhijnya</cp:lastModifiedBy>
  <cp:revision>4</cp:revision>
  <dcterms:created xsi:type="dcterms:W3CDTF">2016-11-15T10:19:00Z</dcterms:created>
  <dcterms:modified xsi:type="dcterms:W3CDTF">2016-11-15T10:23:00Z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