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4A24DB" w:rsidRDefault="004A24DB" w:rsidP="00557169">
      <w:pPr>
        <w:pStyle w:val="1"/>
        <w:spacing w:before="170"/>
        <w:ind w:left="0"/>
      </w:pPr>
      <w:r w:rsidRPr="004A24DB">
        <w:rPr>
          <w:color w:val="337AB7"/>
        </w:rPr>
        <w:t xml:space="preserve">Additional evidence of link between </w:t>
      </w:r>
      <w:proofErr w:type="spellStart"/>
      <w:r w:rsidRPr="004A24DB">
        <w:rPr>
          <w:color w:val="337AB7"/>
        </w:rPr>
        <w:t>mtDNA</w:t>
      </w:r>
      <w:proofErr w:type="spellEnd"/>
      <w:r w:rsidRPr="004A24DB">
        <w:rPr>
          <w:color w:val="337AB7"/>
        </w:rPr>
        <w:t xml:space="preserve"> copy number and body mass index</w:t>
      </w:r>
    </w:p>
    <w:p w:rsidR="007C48F1" w:rsidRDefault="007C48F1">
      <w:pPr>
        <w:pStyle w:val="a3"/>
        <w:spacing w:before="73" w:line="198" w:lineRule="exact"/>
        <w:ind w:left="100" w:right="5967"/>
        <w:rPr>
          <w:rFonts w:ascii="Arial"/>
          <w:color w:val="FF0000"/>
        </w:rPr>
      </w:pPr>
      <w:proofErr w:type="spellStart"/>
      <w:r w:rsidRPr="007C48F1">
        <w:rPr>
          <w:rFonts w:ascii="Arial"/>
          <w:color w:val="FF0000"/>
        </w:rPr>
        <w:t>Daria</w:t>
      </w:r>
      <w:proofErr w:type="spellEnd"/>
      <w:r w:rsidRPr="007C48F1">
        <w:rPr>
          <w:rFonts w:ascii="Arial"/>
          <w:color w:val="FF0000"/>
        </w:rPr>
        <w:t xml:space="preserve"> </w:t>
      </w:r>
      <w:proofErr w:type="spellStart"/>
      <w:r w:rsidRPr="007C48F1">
        <w:rPr>
          <w:rFonts w:ascii="Arial"/>
          <w:color w:val="FF0000"/>
        </w:rPr>
        <w:t>Skuratovskaia</w:t>
      </w:r>
      <w:proofErr w:type="spellEnd"/>
      <w:r w:rsidRPr="007C48F1">
        <w:rPr>
          <w:rFonts w:ascii="Arial"/>
          <w:color w:val="FF0000"/>
        </w:rPr>
        <w:t xml:space="preserve">, </w:t>
      </w:r>
      <w:proofErr w:type="spellStart"/>
      <w:r>
        <w:rPr>
          <w:rFonts w:ascii="Arial"/>
          <w:color w:val="FF0000"/>
        </w:rPr>
        <w:t>Pavel</w:t>
      </w:r>
      <w:proofErr w:type="spellEnd"/>
      <w:r>
        <w:rPr>
          <w:rFonts w:ascii="Arial"/>
          <w:color w:val="FF0000"/>
        </w:rPr>
        <w:t xml:space="preserve"> </w:t>
      </w:r>
      <w:proofErr w:type="spellStart"/>
      <w:r>
        <w:rPr>
          <w:rFonts w:ascii="Arial"/>
          <w:color w:val="FF0000"/>
        </w:rPr>
        <w:t>Zatolokin</w:t>
      </w:r>
      <w:proofErr w:type="spellEnd"/>
      <w:r>
        <w:rPr>
          <w:rFonts w:ascii="Arial"/>
          <w:color w:val="FF0000"/>
        </w:rPr>
        <w:t xml:space="preserve">, </w:t>
      </w:r>
      <w:r w:rsidRPr="007C48F1">
        <w:rPr>
          <w:rFonts w:ascii="Arial"/>
          <w:color w:val="FF0000"/>
        </w:rPr>
        <w:t>Konstant</w:t>
      </w:r>
      <w:r>
        <w:rPr>
          <w:rFonts w:ascii="Arial"/>
          <w:color w:val="FF0000"/>
        </w:rPr>
        <w:t xml:space="preserve">in </w:t>
      </w:r>
      <w:proofErr w:type="spellStart"/>
      <w:r>
        <w:rPr>
          <w:rFonts w:ascii="Arial"/>
          <w:color w:val="FF0000"/>
        </w:rPr>
        <w:t>Popadin</w:t>
      </w:r>
      <w:proofErr w:type="spellEnd"/>
      <w:r>
        <w:rPr>
          <w:rFonts w:ascii="Arial"/>
          <w:color w:val="FF0000"/>
        </w:rPr>
        <w:t xml:space="preserve">, Larisa </w:t>
      </w:r>
      <w:proofErr w:type="spellStart"/>
      <w:r>
        <w:rPr>
          <w:rFonts w:ascii="Arial"/>
          <w:color w:val="FF0000"/>
        </w:rPr>
        <w:t>Litvinova</w:t>
      </w:r>
      <w:proofErr w:type="spellEnd"/>
      <w:r>
        <w:rPr>
          <w:rFonts w:ascii="Arial"/>
          <w:color w:val="FF0000"/>
        </w:rPr>
        <w:t>,</w:t>
      </w:r>
      <w:r w:rsidRPr="007C48F1">
        <w:rPr>
          <w:rFonts w:ascii="Arial"/>
          <w:color w:val="FF0000"/>
        </w:rPr>
        <w:t xml:space="preserve"> Ilia </w:t>
      </w:r>
      <w:proofErr w:type="spellStart"/>
      <w:r w:rsidRPr="007C48F1">
        <w:rPr>
          <w:rFonts w:ascii="Arial"/>
          <w:color w:val="FF0000"/>
        </w:rPr>
        <w:t>Mazunin</w:t>
      </w:r>
      <w:proofErr w:type="spellEnd"/>
      <w:r>
        <w:rPr>
          <w:rFonts w:ascii="Arial"/>
          <w:color w:val="FF0000"/>
        </w:rPr>
        <w:t xml:space="preserve">. </w:t>
      </w:r>
      <w:r w:rsidRPr="007C48F1">
        <w:rPr>
          <w:rFonts w:ascii="Arial"/>
          <w:color w:val="FF0000"/>
        </w:rPr>
        <w:t>Immanuel Kant Baltic Federal University, K</w:t>
      </w:r>
      <w:bookmarkStart w:id="0" w:name="_GoBack"/>
      <w:bookmarkEnd w:id="0"/>
      <w:r w:rsidRPr="007C48F1">
        <w:rPr>
          <w:rFonts w:ascii="Arial"/>
          <w:color w:val="FF0000"/>
        </w:rPr>
        <w:t xml:space="preserve">aliningrad, Russia </w:t>
      </w: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</w:t>
      </w:r>
      <w:proofErr w:type="gramStart"/>
      <w:r w:rsidR="00404E5B">
        <w:rPr>
          <w:color w:val="BF5A14"/>
        </w:rPr>
        <w:t>limit</w:t>
      </w:r>
      <w:proofErr w:type="gramEnd"/>
      <w:r w:rsidR="00404E5B">
        <w:rPr>
          <w:color w:val="BF5A14"/>
        </w:rPr>
        <w:t>)</w:t>
      </w:r>
      <w:r w:rsidR="004A3A3F">
        <w:rPr>
          <w:color w:val="BF5A14"/>
        </w:rPr>
        <w:t>:</w:t>
      </w:r>
    </w:p>
    <w:p w:rsidR="004A24DB" w:rsidRPr="004A24DB" w:rsidRDefault="004A24DB" w:rsidP="004A24DB">
      <w:pPr>
        <w:pStyle w:val="a3"/>
        <w:spacing w:before="90" w:line="280" w:lineRule="auto"/>
        <w:ind w:left="100"/>
        <w:jc w:val="both"/>
        <w:rPr>
          <w:rFonts w:ascii="Cambria" w:hAnsi="Cambria"/>
          <w:sz w:val="16"/>
          <w:szCs w:val="16"/>
        </w:rPr>
      </w:pPr>
      <w:r w:rsidRPr="004A24DB">
        <w:rPr>
          <w:rFonts w:ascii="Cambria" w:hAnsi="Cambria"/>
          <w:sz w:val="16"/>
          <w:szCs w:val="16"/>
        </w:rPr>
        <w:t>Mitochondrial DNA (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) encodes core subunits of oxidative phosphorylation complex and as a result of a complex regulatory crosstalk between nuclear and mitochondrial genomes the total number of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fits the requirements of each cell type. Deviations from the optimal number of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are expected to be deleterious and thus can cause some diseases and </w:t>
      </w:r>
      <w:proofErr w:type="spellStart"/>
      <w:r w:rsidRPr="004A24DB">
        <w:rPr>
          <w:rFonts w:ascii="Cambria" w:hAnsi="Cambria"/>
          <w:sz w:val="16"/>
          <w:szCs w:val="16"/>
        </w:rPr>
        <w:t>agin</w:t>
      </w:r>
      <w:proofErr w:type="spellEnd"/>
      <w:r>
        <w:rPr>
          <w:rFonts w:ascii="Cambria" w:hAnsi="Cambria"/>
          <w:sz w:val="16"/>
          <w:szCs w:val="16"/>
        </w:rPr>
        <w:t xml:space="preserve"> [1]</w:t>
      </w:r>
      <w:r w:rsidRPr="004A24DB">
        <w:rPr>
          <w:rFonts w:ascii="Cambria" w:hAnsi="Cambria"/>
          <w:sz w:val="16"/>
          <w:szCs w:val="16"/>
        </w:rPr>
        <w:t xml:space="preserve">. The reasons of potential deviations in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might be genetic or environmental such as hormonal imbalance in non-hereditary diseases</w:t>
      </w:r>
      <w:r>
        <w:rPr>
          <w:rFonts w:ascii="Cambria" w:hAnsi="Cambria"/>
          <w:sz w:val="16"/>
          <w:szCs w:val="16"/>
        </w:rPr>
        <w:t xml:space="preserve"> [</w:t>
      </w:r>
      <w:r w:rsidRPr="004A24DB">
        <w:rPr>
          <w:rFonts w:ascii="Cambria" w:hAnsi="Cambria"/>
          <w:sz w:val="16"/>
          <w:szCs w:val="16"/>
        </w:rPr>
        <w:t>2</w:t>
      </w:r>
      <w:r>
        <w:rPr>
          <w:rFonts w:ascii="Cambria" w:hAnsi="Cambria"/>
          <w:sz w:val="16"/>
          <w:szCs w:val="16"/>
        </w:rPr>
        <w:t>]</w:t>
      </w:r>
      <w:r w:rsidRPr="004A24DB">
        <w:rPr>
          <w:rFonts w:ascii="Cambria" w:hAnsi="Cambria"/>
          <w:sz w:val="16"/>
          <w:szCs w:val="16"/>
        </w:rPr>
        <w:t xml:space="preserve">. </w:t>
      </w:r>
    </w:p>
    <w:p w:rsidR="007C48F1" w:rsidRDefault="004A24DB" w:rsidP="007C48F1">
      <w:pPr>
        <w:pStyle w:val="a3"/>
        <w:spacing w:before="90" w:line="280" w:lineRule="auto"/>
        <w:ind w:left="100"/>
        <w:jc w:val="both"/>
        <w:rPr>
          <w:rFonts w:ascii="Cambria" w:hAnsi="Cambria"/>
          <w:sz w:val="16"/>
          <w:szCs w:val="16"/>
        </w:rPr>
      </w:pPr>
      <w:r w:rsidRPr="004A24DB">
        <w:rPr>
          <w:rFonts w:ascii="Cambria" w:hAnsi="Cambria"/>
          <w:sz w:val="16"/>
          <w:szCs w:val="16"/>
        </w:rPr>
        <w:t xml:space="preserve">We studied 193 individuals (69 men; 124 women) who were divided into two cohorts: with and without obesity. Five types of tissues were analyzed from each individual: peripheral venous blood, liver, subcutaneous adipose tissues (SAT) and visceral adipose tissue (VAT) from both greater </w:t>
      </w:r>
      <w:proofErr w:type="spellStart"/>
      <w:r w:rsidRPr="004A24DB">
        <w:rPr>
          <w:rFonts w:ascii="Cambria" w:hAnsi="Cambria"/>
          <w:sz w:val="16"/>
          <w:szCs w:val="16"/>
        </w:rPr>
        <w:t>omentum</w:t>
      </w:r>
      <w:proofErr w:type="spellEnd"/>
      <w:r w:rsidRPr="004A24DB">
        <w:rPr>
          <w:rFonts w:ascii="Cambria" w:hAnsi="Cambria"/>
          <w:sz w:val="16"/>
          <w:szCs w:val="16"/>
        </w:rPr>
        <w:t xml:space="preserve"> and </w:t>
      </w:r>
      <w:proofErr w:type="spellStart"/>
      <w:r w:rsidRPr="004A24DB">
        <w:rPr>
          <w:rFonts w:ascii="Cambria" w:hAnsi="Cambria"/>
          <w:sz w:val="16"/>
          <w:szCs w:val="16"/>
        </w:rPr>
        <w:t>mesenterium</w:t>
      </w:r>
      <w:proofErr w:type="spellEnd"/>
      <w:r w:rsidRPr="004A24DB">
        <w:rPr>
          <w:rFonts w:ascii="Cambria" w:hAnsi="Cambria"/>
          <w:sz w:val="16"/>
          <w:szCs w:val="16"/>
        </w:rPr>
        <w:t xml:space="preserve">. The absolute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per cell were measured by droplet digital PCR and were significantly lower in peripheral blood than in the other tissues examined: 228±31 in peripheral blood, 1158±151 in liver, 1312±142 in greater </w:t>
      </w:r>
      <w:proofErr w:type="spellStart"/>
      <w:r w:rsidRPr="004A24DB">
        <w:rPr>
          <w:rFonts w:ascii="Cambria" w:hAnsi="Cambria"/>
          <w:sz w:val="16"/>
          <w:szCs w:val="16"/>
        </w:rPr>
        <w:t>omentum</w:t>
      </w:r>
      <w:proofErr w:type="spellEnd"/>
      <w:r w:rsidRPr="004A24DB">
        <w:rPr>
          <w:rFonts w:ascii="Cambria" w:hAnsi="Cambria"/>
          <w:sz w:val="16"/>
          <w:szCs w:val="16"/>
        </w:rPr>
        <w:t xml:space="preserve">, 1161±86 in </w:t>
      </w:r>
      <w:proofErr w:type="spellStart"/>
      <w:r w:rsidRPr="004A24DB">
        <w:rPr>
          <w:rFonts w:ascii="Cambria" w:hAnsi="Cambria"/>
          <w:sz w:val="16"/>
          <w:szCs w:val="16"/>
        </w:rPr>
        <w:t>mesenterium</w:t>
      </w:r>
      <w:proofErr w:type="spellEnd"/>
      <w:r w:rsidRPr="004A24DB">
        <w:rPr>
          <w:rFonts w:ascii="Cambria" w:hAnsi="Cambria"/>
          <w:sz w:val="16"/>
          <w:szCs w:val="16"/>
        </w:rPr>
        <w:t xml:space="preserve"> and 1418±219 in SAT. The body mass index (BMI) correlates positively with the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in SAT and negatively with peripheral blood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copies. There are positive correlations between greater </w:t>
      </w:r>
    </w:p>
    <w:p w:rsidR="007C48F1" w:rsidRDefault="004A24DB" w:rsidP="007C48F1">
      <w:pPr>
        <w:pStyle w:val="a3"/>
        <w:spacing w:before="90" w:line="280" w:lineRule="auto"/>
        <w:ind w:left="100"/>
        <w:jc w:val="both"/>
        <w:rPr>
          <w:rFonts w:ascii="Cambria" w:hAnsi="Cambria"/>
          <w:sz w:val="16"/>
          <w:szCs w:val="16"/>
        </w:rPr>
      </w:pPr>
      <w:proofErr w:type="spellStart"/>
      <w:proofErr w:type="gramStart"/>
      <w:r w:rsidRPr="004A24DB">
        <w:rPr>
          <w:rFonts w:ascii="Cambria" w:hAnsi="Cambria"/>
          <w:sz w:val="16"/>
          <w:szCs w:val="16"/>
        </w:rPr>
        <w:lastRenderedPageBreak/>
        <w:t>omentum</w:t>
      </w:r>
      <w:proofErr w:type="spellEnd"/>
      <w:proofErr w:type="gramEnd"/>
      <w:r w:rsidRPr="004A24DB">
        <w:rPr>
          <w:rFonts w:ascii="Cambria" w:hAnsi="Cambria"/>
          <w:sz w:val="16"/>
          <w:szCs w:val="16"/>
        </w:rPr>
        <w:t xml:space="preserve"> and </w:t>
      </w:r>
      <w:proofErr w:type="spellStart"/>
      <w:r w:rsidRPr="004A24DB">
        <w:rPr>
          <w:rFonts w:ascii="Cambria" w:hAnsi="Cambria"/>
          <w:sz w:val="16"/>
          <w:szCs w:val="16"/>
        </w:rPr>
        <w:t>mesenterium</w:t>
      </w:r>
      <w:proofErr w:type="spellEnd"/>
      <w:r w:rsidRPr="004A24DB">
        <w:rPr>
          <w:rFonts w:ascii="Cambria" w:hAnsi="Cambria"/>
          <w:sz w:val="16"/>
          <w:szCs w:val="16"/>
        </w:rPr>
        <w:t xml:space="preserve">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(</w:t>
      </w:r>
      <w:proofErr w:type="spellStart"/>
      <w:r w:rsidRPr="004A24DB">
        <w:rPr>
          <w:rFonts w:ascii="Cambria" w:hAnsi="Cambria"/>
          <w:sz w:val="16"/>
          <w:szCs w:val="16"/>
        </w:rPr>
        <w:t>cor</w:t>
      </w:r>
      <w:proofErr w:type="spellEnd"/>
      <w:r w:rsidRPr="004A24DB">
        <w:rPr>
          <w:rFonts w:ascii="Cambria" w:hAnsi="Cambria"/>
          <w:sz w:val="16"/>
          <w:szCs w:val="16"/>
        </w:rPr>
        <w:t xml:space="preserve">=0.44, p&lt;0.05) and between SAT and greater </w:t>
      </w:r>
      <w:proofErr w:type="spellStart"/>
      <w:r w:rsidRPr="004A24DB">
        <w:rPr>
          <w:rFonts w:ascii="Cambria" w:hAnsi="Cambria"/>
          <w:sz w:val="16"/>
          <w:szCs w:val="16"/>
        </w:rPr>
        <w:t>omentum</w:t>
      </w:r>
      <w:proofErr w:type="spellEnd"/>
      <w:r w:rsidRPr="004A24DB">
        <w:rPr>
          <w:rFonts w:ascii="Cambria" w:hAnsi="Cambria"/>
          <w:sz w:val="16"/>
          <w:szCs w:val="16"/>
        </w:rPr>
        <w:t xml:space="preserve"> (</w:t>
      </w:r>
      <w:proofErr w:type="spellStart"/>
      <w:r w:rsidRPr="004A24DB">
        <w:rPr>
          <w:rFonts w:ascii="Cambria" w:hAnsi="Cambria"/>
          <w:sz w:val="16"/>
          <w:szCs w:val="16"/>
        </w:rPr>
        <w:t>cor</w:t>
      </w:r>
      <w:proofErr w:type="spellEnd"/>
      <w:r w:rsidRPr="004A24DB">
        <w:rPr>
          <w:rFonts w:ascii="Cambria" w:hAnsi="Cambria"/>
          <w:sz w:val="16"/>
          <w:szCs w:val="16"/>
        </w:rPr>
        <w:t xml:space="preserve">=0.48, p&lt;0.05). Multiple regression model revealed that blood and SAT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copy number affect the change in BMI (Multiple R2: 0.4491, adjusted R2: 0.3471, p-value: 0.004633). Thus, we revealed positive relationships between BMI and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in SAT and fat depots, but negative relationship between BMI and </w:t>
      </w:r>
      <w:proofErr w:type="spellStart"/>
      <w:r w:rsidRPr="004A24DB">
        <w:rPr>
          <w:rFonts w:ascii="Cambria" w:hAnsi="Cambria"/>
          <w:sz w:val="16"/>
          <w:szCs w:val="16"/>
        </w:rPr>
        <w:t>mtDNA</w:t>
      </w:r>
      <w:proofErr w:type="spellEnd"/>
      <w:r w:rsidRPr="004A24DB">
        <w:rPr>
          <w:rFonts w:ascii="Cambria" w:hAnsi="Cambria"/>
          <w:sz w:val="16"/>
          <w:szCs w:val="16"/>
        </w:rPr>
        <w:t xml:space="preserve"> copies in peripheral venous blood.</w:t>
      </w:r>
    </w:p>
    <w:p w:rsidR="007C48F1" w:rsidRDefault="007C48F1" w:rsidP="007C48F1">
      <w:pPr>
        <w:pStyle w:val="a3"/>
        <w:spacing w:before="90" w:line="280" w:lineRule="auto"/>
        <w:ind w:left="100"/>
        <w:jc w:val="both"/>
        <w:rPr>
          <w:rFonts w:ascii="Cambria" w:hAnsi="Cambria"/>
          <w:b/>
          <w:color w:val="E36C0A" w:themeColor="accent6" w:themeShade="BF"/>
          <w:sz w:val="16"/>
          <w:szCs w:val="16"/>
        </w:rPr>
      </w:pPr>
    </w:p>
    <w:p w:rsidR="007C48F1" w:rsidRPr="007C48F1" w:rsidRDefault="007C48F1" w:rsidP="007C48F1">
      <w:pPr>
        <w:pStyle w:val="a3"/>
        <w:spacing w:before="90" w:line="280" w:lineRule="auto"/>
        <w:ind w:left="100"/>
        <w:jc w:val="both"/>
        <w:rPr>
          <w:rFonts w:ascii="Cambria" w:hAnsi="Cambria"/>
          <w:b/>
          <w:color w:val="E36C0A" w:themeColor="accent6" w:themeShade="BF"/>
          <w:sz w:val="16"/>
          <w:szCs w:val="16"/>
        </w:rPr>
      </w:pPr>
      <w:r w:rsidRPr="007C48F1">
        <w:rPr>
          <w:rFonts w:ascii="Cambria" w:hAnsi="Cambria"/>
          <w:b/>
          <w:color w:val="E36C0A" w:themeColor="accent6" w:themeShade="BF"/>
          <w:sz w:val="16"/>
          <w:szCs w:val="16"/>
        </w:rPr>
        <w:t>Funding</w:t>
      </w:r>
    </w:p>
    <w:p w:rsidR="00AE3E37" w:rsidRPr="007C48F1" w:rsidRDefault="007C48F1" w:rsidP="007C48F1">
      <w:pPr>
        <w:pStyle w:val="a3"/>
        <w:spacing w:before="90" w:line="280" w:lineRule="auto"/>
        <w:ind w:left="100"/>
        <w:jc w:val="both"/>
        <w:rPr>
          <w:rFonts w:ascii="Cambria" w:hAnsi="Cambria"/>
          <w:sz w:val="16"/>
          <w:szCs w:val="16"/>
        </w:rPr>
      </w:pPr>
      <w:r w:rsidRPr="007C48F1">
        <w:rPr>
          <w:rFonts w:ascii="Cambria" w:hAnsi="Cambria"/>
          <w:sz w:val="16"/>
          <w:szCs w:val="16"/>
        </w:rPr>
        <w:t>Th</w:t>
      </w:r>
      <w:r>
        <w:rPr>
          <w:rFonts w:ascii="Cambria" w:hAnsi="Cambria"/>
          <w:sz w:val="16"/>
          <w:szCs w:val="16"/>
        </w:rPr>
        <w:t xml:space="preserve">e work was conducted within </w:t>
      </w:r>
      <w:r w:rsidRPr="007C48F1">
        <w:rPr>
          <w:rFonts w:ascii="Cambria" w:hAnsi="Cambria"/>
          <w:sz w:val="16"/>
          <w:szCs w:val="16"/>
        </w:rPr>
        <w:t>the Russian Foundation for Basic Research 18-015-00084-a</w:t>
      </w:r>
    </w:p>
    <w:p w:rsidR="007C48F1" w:rsidRDefault="007C48F1">
      <w:pPr>
        <w:spacing w:before="157"/>
        <w:ind w:left="100"/>
        <w:rPr>
          <w:rFonts w:ascii="Arial"/>
          <w:b/>
          <w:color w:val="BF5A14"/>
          <w:sz w:val="20"/>
        </w:rPr>
      </w:pPr>
    </w:p>
    <w:p w:rsidR="00AE3E37" w:rsidRDefault="00414F7B">
      <w:pPr>
        <w:spacing w:before="157"/>
        <w:ind w:left="100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</w:t>
      </w:r>
      <w:r w:rsidR="004A3A3F">
        <w:rPr>
          <w:rFonts w:ascii="Arial"/>
          <w:b/>
          <w:color w:val="BF5A14"/>
          <w:sz w:val="20"/>
        </w:rPr>
        <w:t>cations:</w:t>
      </w:r>
    </w:p>
    <w:p w:rsidR="004A24DB" w:rsidRPr="004A24DB" w:rsidRDefault="004A24DB" w:rsidP="004A24DB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sz w:val="16"/>
          <w:szCs w:val="16"/>
        </w:rPr>
      </w:pPr>
      <w:proofErr w:type="spellStart"/>
      <w:r w:rsidRPr="004A24DB">
        <w:rPr>
          <w:rFonts w:asciiTheme="majorHAnsi" w:hAnsiTheme="majorHAnsi"/>
          <w:sz w:val="16"/>
          <w:szCs w:val="16"/>
        </w:rPr>
        <w:t>Pagel-Langenickel</w:t>
      </w:r>
      <w:proofErr w:type="spellEnd"/>
      <w:r w:rsidRPr="004A24DB">
        <w:rPr>
          <w:rFonts w:asciiTheme="majorHAnsi" w:hAnsiTheme="majorHAnsi"/>
          <w:sz w:val="16"/>
          <w:szCs w:val="16"/>
        </w:rPr>
        <w:t xml:space="preserve"> I, </w:t>
      </w:r>
      <w:proofErr w:type="spellStart"/>
      <w:r w:rsidRPr="004A24DB">
        <w:rPr>
          <w:rFonts w:asciiTheme="majorHAnsi" w:hAnsiTheme="majorHAnsi"/>
          <w:sz w:val="16"/>
          <w:szCs w:val="16"/>
        </w:rPr>
        <w:t>Bao</w:t>
      </w:r>
      <w:proofErr w:type="spellEnd"/>
      <w:r w:rsidRPr="004A24DB">
        <w:rPr>
          <w:rFonts w:asciiTheme="majorHAnsi" w:hAnsiTheme="majorHAnsi"/>
          <w:sz w:val="16"/>
          <w:szCs w:val="16"/>
        </w:rPr>
        <w:t xml:space="preserve"> J, Pang L, Sack MN. </w:t>
      </w:r>
      <w:r w:rsidRPr="004A24DB">
        <w:rPr>
          <w:rFonts w:asciiTheme="majorHAnsi" w:hAnsiTheme="majorHAnsi"/>
          <w:sz w:val="16"/>
          <w:szCs w:val="16"/>
        </w:rPr>
        <w:t>(</w:t>
      </w:r>
      <w:r w:rsidRPr="004A24DB">
        <w:rPr>
          <w:rFonts w:asciiTheme="majorHAnsi" w:hAnsiTheme="majorHAnsi"/>
          <w:sz w:val="16"/>
          <w:szCs w:val="16"/>
        </w:rPr>
        <w:t>2010</w:t>
      </w:r>
      <w:r w:rsidRPr="004A24DB">
        <w:rPr>
          <w:rFonts w:asciiTheme="majorHAnsi" w:hAnsiTheme="majorHAnsi"/>
          <w:sz w:val="16"/>
          <w:szCs w:val="16"/>
        </w:rPr>
        <w:t xml:space="preserve">) </w:t>
      </w:r>
      <w:proofErr w:type="gramStart"/>
      <w:r w:rsidRPr="004A24DB">
        <w:rPr>
          <w:rFonts w:asciiTheme="majorHAnsi" w:hAnsiTheme="majorHAnsi"/>
          <w:sz w:val="16"/>
          <w:szCs w:val="16"/>
        </w:rPr>
        <w:t>The</w:t>
      </w:r>
      <w:proofErr w:type="gramEnd"/>
      <w:r w:rsidRPr="004A24DB">
        <w:rPr>
          <w:rFonts w:asciiTheme="majorHAnsi" w:hAnsiTheme="majorHAnsi"/>
          <w:sz w:val="16"/>
          <w:szCs w:val="16"/>
        </w:rPr>
        <w:t xml:space="preserve"> Role of Mitochondria in the Pathophysiology of Skeletal Muscle Insulin Resistance. Endocrine Reviews.</w:t>
      </w:r>
      <w:r>
        <w:rPr>
          <w:rFonts w:asciiTheme="majorHAnsi" w:hAnsiTheme="majorHAnsi"/>
          <w:sz w:val="16"/>
          <w:szCs w:val="16"/>
          <w:lang w:val="ru-RU"/>
        </w:rPr>
        <w:t xml:space="preserve"> </w:t>
      </w:r>
      <w:r w:rsidRPr="004A24DB">
        <w:rPr>
          <w:rFonts w:asciiTheme="majorHAnsi" w:hAnsiTheme="majorHAnsi"/>
          <w:sz w:val="16"/>
          <w:szCs w:val="16"/>
        </w:rPr>
        <w:t xml:space="preserve">31(1):25-51. </w:t>
      </w:r>
    </w:p>
    <w:p w:rsidR="004A24DB" w:rsidRPr="004A24DB" w:rsidRDefault="004A24DB" w:rsidP="004A24DB">
      <w:pPr>
        <w:pStyle w:val="a4"/>
        <w:numPr>
          <w:ilvl w:val="0"/>
          <w:numId w:val="2"/>
        </w:numPr>
        <w:tabs>
          <w:tab w:val="left" w:pos="384"/>
        </w:tabs>
        <w:spacing w:before="99"/>
        <w:ind w:right="118"/>
        <w:rPr>
          <w:rFonts w:asciiTheme="majorHAnsi" w:hAnsiTheme="majorHAnsi"/>
          <w:sz w:val="16"/>
          <w:szCs w:val="16"/>
        </w:rPr>
      </w:pPr>
      <w:proofErr w:type="spellStart"/>
      <w:r w:rsidRPr="004A24DB">
        <w:rPr>
          <w:rFonts w:asciiTheme="majorHAnsi" w:hAnsiTheme="majorHAnsi"/>
          <w:sz w:val="16"/>
          <w:szCs w:val="16"/>
        </w:rPr>
        <w:t>Maechler</w:t>
      </w:r>
      <w:proofErr w:type="spellEnd"/>
      <w:r w:rsidRPr="004A24DB">
        <w:rPr>
          <w:rFonts w:asciiTheme="majorHAnsi" w:hAnsiTheme="majorHAnsi"/>
          <w:sz w:val="16"/>
          <w:szCs w:val="16"/>
        </w:rPr>
        <w:t xml:space="preserve"> P, </w:t>
      </w:r>
      <w:proofErr w:type="spellStart"/>
      <w:r w:rsidRPr="004A24DB">
        <w:rPr>
          <w:rFonts w:asciiTheme="majorHAnsi" w:hAnsiTheme="majorHAnsi"/>
          <w:sz w:val="16"/>
          <w:szCs w:val="16"/>
        </w:rPr>
        <w:t>Wollheim</w:t>
      </w:r>
      <w:proofErr w:type="spellEnd"/>
      <w:r w:rsidRPr="004A24DB">
        <w:rPr>
          <w:rFonts w:asciiTheme="majorHAnsi" w:hAnsiTheme="majorHAnsi"/>
          <w:sz w:val="16"/>
          <w:szCs w:val="16"/>
        </w:rPr>
        <w:t xml:space="preserve"> CB.</w:t>
      </w:r>
      <w:r w:rsidRPr="004A24DB">
        <w:rPr>
          <w:rFonts w:asciiTheme="majorHAnsi" w:hAnsiTheme="majorHAnsi"/>
          <w:sz w:val="16"/>
          <w:szCs w:val="16"/>
        </w:rPr>
        <w:t xml:space="preserve"> (</w:t>
      </w:r>
      <w:r w:rsidRPr="004A24DB">
        <w:rPr>
          <w:rFonts w:asciiTheme="majorHAnsi" w:hAnsiTheme="majorHAnsi"/>
          <w:sz w:val="16"/>
          <w:szCs w:val="16"/>
        </w:rPr>
        <w:t>2001</w:t>
      </w:r>
      <w:r w:rsidRPr="004A24DB">
        <w:rPr>
          <w:rFonts w:asciiTheme="majorHAnsi" w:hAnsiTheme="majorHAnsi"/>
          <w:sz w:val="16"/>
          <w:szCs w:val="16"/>
        </w:rPr>
        <w:t>)</w:t>
      </w:r>
      <w:r w:rsidRPr="004A24DB">
        <w:rPr>
          <w:rFonts w:asciiTheme="majorHAnsi" w:hAnsiTheme="majorHAnsi"/>
          <w:sz w:val="16"/>
          <w:szCs w:val="16"/>
        </w:rPr>
        <w:t xml:space="preserve"> </w:t>
      </w:r>
      <w:proofErr w:type="gramStart"/>
      <w:r w:rsidRPr="004A24DB">
        <w:rPr>
          <w:rFonts w:asciiTheme="majorHAnsi" w:hAnsiTheme="majorHAnsi"/>
          <w:sz w:val="16"/>
          <w:szCs w:val="16"/>
        </w:rPr>
        <w:t>Mitochondrial</w:t>
      </w:r>
      <w:proofErr w:type="gramEnd"/>
      <w:r w:rsidRPr="004A24DB">
        <w:rPr>
          <w:rFonts w:asciiTheme="majorHAnsi" w:hAnsiTheme="majorHAnsi"/>
          <w:sz w:val="16"/>
          <w:szCs w:val="16"/>
        </w:rPr>
        <w:t xml:space="preserve"> function in normal and diabetic beta-cells. Nature.</w:t>
      </w:r>
      <w:r>
        <w:rPr>
          <w:rFonts w:asciiTheme="majorHAnsi" w:hAnsiTheme="majorHAnsi"/>
          <w:sz w:val="16"/>
          <w:szCs w:val="16"/>
          <w:lang w:val="ru-RU"/>
        </w:rPr>
        <w:t xml:space="preserve"> </w:t>
      </w:r>
      <w:r w:rsidRPr="004A24DB">
        <w:rPr>
          <w:rFonts w:asciiTheme="majorHAnsi" w:hAnsiTheme="majorHAnsi"/>
          <w:sz w:val="16"/>
          <w:szCs w:val="16"/>
        </w:rPr>
        <w:t xml:space="preserve">414(6865):807-12.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7C48F1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sz w:val="4"/>
        </w:rPr>
      </w:r>
      <w:r>
        <w:rPr>
          <w:rFonts w:ascii="Calibri"/>
          <w:sz w:val="4"/>
        </w:rPr>
        <w:pict>
          <v:group id="_x0000_s1028" style="width:313.05pt;height:2pt;mso-position-horizontal-relative:char;mso-position-vertical-relative:line" coordsize="6261,40">
            <v:line id="_x0000_s1029" style="position:absolute" from="20,20" to="6241,20" strokecolor="#004080" strokeweight="2pt"/>
            <w10:wrap type="none"/>
            <w10:anchorlock/>
          </v:group>
        </w:pict>
      </w:r>
    </w:p>
    <w:p w:rsidR="00AE3E37" w:rsidRDefault="00E45E29" w:rsidP="00404E5B">
      <w:pPr>
        <w:spacing w:before="92"/>
        <w:ind w:right="4234"/>
        <w:rPr>
          <w:rFonts w:ascii="Arial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0" wp14:anchorId="06B36B01" wp14:editId="2C1CAF06">
            <wp:simplePos x="0" y="0"/>
            <wp:positionH relativeFrom="column">
              <wp:posOffset>167005</wp:posOffset>
            </wp:positionH>
            <wp:positionV relativeFrom="paragraph">
              <wp:posOffset>-31750</wp:posOffset>
            </wp:positionV>
            <wp:extent cx="492760" cy="697865"/>
            <wp:effectExtent l="0" t="0" r="0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760" cy="697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4E5B">
        <w:rPr>
          <w:rFonts w:ascii="Arial"/>
          <w:color w:val="BF5A14"/>
        </w:rPr>
        <w:t xml:space="preserve">                                   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C48F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 w:rsidRPr="007C48F1">
        <w:rPr>
          <w:rFonts w:ascii="Arial"/>
          <w:sz w:val="14"/>
        </w:rPr>
        <w:t>Daria</w:t>
      </w:r>
      <w:proofErr w:type="spellEnd"/>
      <w:r w:rsidRPr="007C48F1">
        <w:rPr>
          <w:rFonts w:ascii="Arial"/>
          <w:sz w:val="14"/>
        </w:rPr>
        <w:t xml:space="preserve"> </w:t>
      </w:r>
      <w:proofErr w:type="spellStart"/>
      <w:r w:rsidRPr="007C48F1">
        <w:rPr>
          <w:rFonts w:ascii="Arial"/>
          <w:sz w:val="14"/>
        </w:rPr>
        <w:t>Skuratovskaia</w:t>
      </w:r>
      <w:proofErr w:type="spellEnd"/>
      <w:r w:rsidR="00E45E29" w:rsidRPr="007C48F1">
        <w:t xml:space="preserve"> </w:t>
      </w:r>
      <w:r w:rsidR="00E45E29" w:rsidRPr="007C48F1">
        <w:rPr>
          <w:rFonts w:ascii="Arial"/>
          <w:sz w:val="14"/>
        </w:rPr>
        <w:t>conducts</w:t>
      </w:r>
      <w:r w:rsidR="00E45E29" w:rsidRPr="00E45E29">
        <w:rPr>
          <w:rFonts w:ascii="Arial"/>
          <w:sz w:val="14"/>
        </w:rPr>
        <w:t xml:space="preserve"> research in the field of genetic studies of the metabolic syndrome and its complications.</w:t>
      </w:r>
      <w:r>
        <w:rPr>
          <w:rFonts w:ascii="Arial"/>
          <w:sz w:val="14"/>
        </w:rPr>
        <w:t xml:space="preserve"> </w:t>
      </w:r>
      <w:r>
        <w:rPr>
          <w:rFonts w:ascii="Arial" w:hAnsi="Arial" w:cs="Arial"/>
          <w:sz w:val="14"/>
        </w:rPr>
        <w:t>She</w:t>
      </w:r>
      <w:r w:rsidRPr="007C48F1">
        <w:rPr>
          <w:rFonts w:ascii="Arial"/>
          <w:sz w:val="14"/>
        </w:rPr>
        <w:t xml:space="preserve"> </w:t>
      </w:r>
      <w:proofErr w:type="gramStart"/>
      <w:r w:rsidRPr="007C48F1">
        <w:rPr>
          <w:rFonts w:ascii="Arial"/>
          <w:sz w:val="14"/>
        </w:rPr>
        <w:t>study</w:t>
      </w:r>
      <w:proofErr w:type="gramEnd"/>
      <w:r w:rsidRPr="007C48F1">
        <w:rPr>
          <w:rFonts w:ascii="Arial"/>
          <w:sz w:val="14"/>
        </w:rPr>
        <w:t xml:space="preserve"> the polymorphic variants of </w:t>
      </w:r>
      <w:proofErr w:type="spellStart"/>
      <w:r w:rsidRPr="007C48F1">
        <w:rPr>
          <w:rFonts w:ascii="Arial"/>
          <w:sz w:val="14"/>
        </w:rPr>
        <w:t>adipokine</w:t>
      </w:r>
      <w:proofErr w:type="spellEnd"/>
      <w:r w:rsidRPr="007C48F1">
        <w:rPr>
          <w:rFonts w:ascii="Arial"/>
          <w:sz w:val="14"/>
        </w:rPr>
        <w:t xml:space="preserve"> and cytokine genes responsible for the formation of insulin resistance in obesity. In addition, </w:t>
      </w:r>
      <w:r>
        <w:rPr>
          <w:rFonts w:ascii="Arial"/>
          <w:sz w:val="14"/>
        </w:rPr>
        <w:t xml:space="preserve">she </w:t>
      </w:r>
      <w:proofErr w:type="gramStart"/>
      <w:r w:rsidRPr="007C48F1">
        <w:rPr>
          <w:rFonts w:ascii="Arial"/>
          <w:sz w:val="14"/>
        </w:rPr>
        <w:t>investigate</w:t>
      </w:r>
      <w:proofErr w:type="gramEnd"/>
      <w:r w:rsidRPr="007C48F1">
        <w:rPr>
          <w:rFonts w:ascii="Arial"/>
          <w:sz w:val="14"/>
        </w:rPr>
        <w:t xml:space="preserve"> the relationship between the components of NF-KB and </w:t>
      </w:r>
      <w:proofErr w:type="spellStart"/>
      <w:r w:rsidRPr="007C48F1">
        <w:rPr>
          <w:rFonts w:ascii="Arial"/>
          <w:sz w:val="14"/>
        </w:rPr>
        <w:t>Wnt</w:t>
      </w:r>
      <w:proofErr w:type="spellEnd"/>
      <w:r w:rsidRPr="007C48F1">
        <w:rPr>
          <w:rFonts w:ascii="Arial"/>
          <w:sz w:val="14"/>
        </w:rPr>
        <w:t xml:space="preserve"> signaling pathways with mitochondrial biogenesis.</w:t>
      </w:r>
    </w:p>
    <w:p w:rsidR="00AE3E37" w:rsidRDefault="007C48F1" w:rsidP="007C48F1">
      <w:pPr>
        <w:spacing w:before="62"/>
        <w:ind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</w:t>
      </w:r>
      <w:proofErr w:type="spellStart"/>
      <w:r>
        <w:rPr>
          <w:rFonts w:ascii="Arial"/>
          <w:sz w:val="14"/>
        </w:rPr>
        <w:t>Email</w:t>
      </w:r>
      <w:proofErr w:type="gramStart"/>
      <w:r>
        <w:rPr>
          <w:rFonts w:ascii="Arial"/>
          <w:sz w:val="14"/>
        </w:rPr>
        <w:t>:</w:t>
      </w:r>
      <w:proofErr w:type="gramEnd"/>
      <w:hyperlink r:id="rId12" w:history="1">
        <w:r w:rsidR="004A24DB" w:rsidRPr="00CE22F7">
          <w:rPr>
            <w:rStyle w:val="ab"/>
            <w:rFonts w:ascii="Arial"/>
            <w:sz w:val="14"/>
          </w:rPr>
          <w:t>DSkuratovskaya@kantiana.ru</w:t>
        </w:r>
        <w:proofErr w:type="spellEnd"/>
      </w:hyperlink>
    </w:p>
    <w:p w:rsidR="00AE3E37" w:rsidRDefault="007C48F1">
      <w:pPr>
        <w:pStyle w:val="a3"/>
        <w:spacing w:before="2"/>
        <w:rPr>
          <w:rFonts w:ascii="Arial"/>
          <w:sz w:val="19"/>
        </w:rPr>
      </w:pPr>
      <w:r>
        <w:pict>
          <v:line id="_x0000_s1027" style="position:absolute;z-index:1072;mso-wrap-distance-left:0;mso-wrap-distance-right:0;mso-position-horizontal-relative:page" from="162.1pt,13.25pt" to="433.15pt,13.25pt" strokecolor="#004080" strokeweight=".5pt">
            <w10:wrap type="topAndBottom" anchorx="page"/>
          </v:line>
        </w:pic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  <w:r w:rsidRPr="00D92327">
        <w:rPr>
          <w:rFonts w:ascii="Cambria" w:hAnsi="Cambria"/>
          <w:b/>
          <w:sz w:val="24"/>
        </w:rPr>
        <w:t xml:space="preserve">Speaker Mobile Number:  </w:t>
      </w:r>
      <w:r>
        <w:rPr>
          <w:rFonts w:ascii="Cambria" w:hAnsi="Cambria"/>
          <w:b/>
          <w:sz w:val="24"/>
        </w:rPr>
        <w:t xml:space="preserve"> </w:t>
      </w:r>
      <w:r w:rsidR="004A24DB">
        <w:rPr>
          <w:rFonts w:ascii="Cambria" w:hAnsi="Cambria"/>
          <w:b/>
          <w:sz w:val="24"/>
        </w:rPr>
        <w:t>8-911-478-3756</w:t>
      </w:r>
    </w:p>
    <w:p w:rsidR="00D92327" w:rsidRP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</w:p>
    <w:p w:rsidR="00AE3E37" w:rsidRPr="00D92327" w:rsidRDefault="00D92327" w:rsidP="00D92327">
      <w:pPr>
        <w:pStyle w:val="a3"/>
        <w:spacing w:before="7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Speaker </w:t>
      </w:r>
      <w:r w:rsidRPr="00D92327">
        <w:rPr>
          <w:rFonts w:ascii="Cambria" w:hAnsi="Cambria"/>
          <w:b/>
          <w:sz w:val="24"/>
        </w:rPr>
        <w:t xml:space="preserve">Facebook </w:t>
      </w:r>
      <w:r>
        <w:rPr>
          <w:rFonts w:ascii="Cambria" w:hAnsi="Cambria"/>
          <w:b/>
          <w:sz w:val="24"/>
        </w:rPr>
        <w:t xml:space="preserve">Profile </w:t>
      </w:r>
      <w:r w:rsidRPr="00D92327">
        <w:rPr>
          <w:rFonts w:ascii="Cambria" w:hAnsi="Cambria"/>
          <w:b/>
          <w:sz w:val="24"/>
        </w:rPr>
        <w:t xml:space="preserve">URL: </w:t>
      </w:r>
      <w:r w:rsidR="00E45E29" w:rsidRPr="00E45E29">
        <w:rPr>
          <w:rFonts w:ascii="Cambria" w:hAnsi="Cambria"/>
          <w:b/>
          <w:sz w:val="24"/>
        </w:rPr>
        <w:t>https://www.facebook.com/profile.php?id=100014833060860</w:t>
      </w:r>
    </w:p>
    <w:p w:rsidR="00D92327" w:rsidRPr="00D92327" w:rsidRDefault="00D92327" w:rsidP="00D92327">
      <w:pPr>
        <w:pStyle w:val="a3"/>
        <w:spacing w:before="7"/>
        <w:rPr>
          <w:rFonts w:ascii="Cambria" w:hAnsi="Cambria"/>
          <w:sz w:val="24"/>
        </w:rPr>
      </w:pPr>
    </w:p>
    <w:p w:rsidR="008477F8" w:rsidRPr="00D92327" w:rsidRDefault="008477F8" w:rsidP="00D92327">
      <w:pPr>
        <w:rPr>
          <w:rFonts w:ascii="Times New Roman" w:hAnsi="Times New Roman" w:cs="Times New Roman"/>
          <w:sz w:val="24"/>
        </w:rPr>
        <w:sectPr w:rsidR="008477F8" w:rsidRPr="00D9232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8477F8" w:rsidRDefault="00AE3E37" w:rsidP="008477F8">
      <w:pPr>
        <w:pStyle w:val="a3"/>
        <w:spacing w:before="3"/>
        <w:rPr>
          <w:rFonts w:ascii="Minion Pro"/>
          <w:b/>
          <w:sz w:val="26"/>
        </w:rPr>
      </w:pPr>
    </w:p>
    <w:sectPr w:rsidR="00AE3E37" w:rsidRPr="008477F8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045" w:rsidRDefault="00412045">
      <w:r>
        <w:separator/>
      </w:r>
    </w:p>
  </w:endnote>
  <w:endnote w:type="continuationSeparator" w:id="0">
    <w:p w:rsidR="00412045" w:rsidRDefault="00412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C48F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35pt;margin-top:798.8pt;width:168.2pt;height:19.6pt;z-index:-4552;mso-position-horizontal-relative:page;mso-position-vertical-relative:page" filled="f" stroked="f">
          <v:textbox style="mso-next-textbox:#_x0000_s2051"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2050" type="#_x0000_t202" style="position:absolute;margin-left:252.1pt;margin-top:799.05pt;width:91.9pt;height:24.95pt;z-index:-4528;mso-position-horizontal-relative:page;mso-position-vertical-relative:page" filled="f" stroked="f">
          <v:textbox style="mso-next-textbox:#_x0000_s2050"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468.9pt;margin-top:798.8pt;width:91.4pt;height:26.05pt;z-index:-4504;mso-position-horizontal-relative:page;mso-position-vertical-relative:page" filled="f" stroked="f">
          <v:textbox style="mso-next-textbox:#_x0000_s2049"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045" w:rsidRDefault="00412045">
      <w:r>
        <w:separator/>
      </w:r>
    </w:p>
  </w:footnote>
  <w:footnote w:type="continuationSeparator" w:id="0">
    <w:p w:rsidR="00412045" w:rsidRDefault="004120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C48F1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16pt;margin-top:26.05pt;width:144.3pt;height:17.4pt;z-index:-4600;mso-position-horizontal-relative:page;mso-position-vertical-relative:page" filled="f" stroked="f">
          <v:textbox style="mso-next-textbox:#_x0000_s2053"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Furuta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et al., J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Pai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 n Relief 2016, 5:3(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>
      <w:pict>
        <v:shape id="_x0000_s2052" type="#_x0000_t202" style="position:absolute;margin-left:35pt;margin-top:48.3pt;width:515.95pt;height:40.1pt;z-index:-4576;mso-position-horizontal-relative:page;mso-position-vertical-relative:page" filled="f" stroked="f">
          <v:textbox style="mso-next-textbox:#_x0000_s2052" inset="0,0,0,0">
            <w:txbxContent>
              <w:p w:rsidR="00AE3E37" w:rsidRPr="005B3A56" w:rsidRDefault="00A9710C">
                <w:pPr>
                  <w:pStyle w:val="a3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AE3E37"/>
    <w:rsid w:val="000E2911"/>
    <w:rsid w:val="001263DF"/>
    <w:rsid w:val="001C539E"/>
    <w:rsid w:val="002344B5"/>
    <w:rsid w:val="002845A5"/>
    <w:rsid w:val="00404E5B"/>
    <w:rsid w:val="00412045"/>
    <w:rsid w:val="00414F7B"/>
    <w:rsid w:val="004355DC"/>
    <w:rsid w:val="00435635"/>
    <w:rsid w:val="004749B4"/>
    <w:rsid w:val="004A24DB"/>
    <w:rsid w:val="004A3A3F"/>
    <w:rsid w:val="004C7E57"/>
    <w:rsid w:val="004F3523"/>
    <w:rsid w:val="00557169"/>
    <w:rsid w:val="005B3A56"/>
    <w:rsid w:val="006060CE"/>
    <w:rsid w:val="0063497F"/>
    <w:rsid w:val="006C0C32"/>
    <w:rsid w:val="007850CD"/>
    <w:rsid w:val="007C48F1"/>
    <w:rsid w:val="008477F8"/>
    <w:rsid w:val="00873DF0"/>
    <w:rsid w:val="009B2D44"/>
    <w:rsid w:val="00A9710C"/>
    <w:rsid w:val="00AE3E37"/>
    <w:rsid w:val="00B21A57"/>
    <w:rsid w:val="00C01EC3"/>
    <w:rsid w:val="00C23E81"/>
    <w:rsid w:val="00C33602"/>
    <w:rsid w:val="00C75DA0"/>
    <w:rsid w:val="00CD6F55"/>
    <w:rsid w:val="00D92327"/>
    <w:rsid w:val="00E45E29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a6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7">
    <w:name w:val="footer"/>
    <w:basedOn w:val="a"/>
    <w:link w:val="a8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B3A56"/>
    <w:rPr>
      <w:rFonts w:ascii="Tw Cen MT" w:eastAsia="Tw Cen MT" w:hAnsi="Tw Cen MT" w:cs="Tw Cen MT"/>
    </w:rPr>
  </w:style>
  <w:style w:type="paragraph" w:styleId="a9">
    <w:name w:val="Balloon Text"/>
    <w:basedOn w:val="a"/>
    <w:link w:val="aa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477F8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2845A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Skuratovskaya@kantia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Дарья Скуратовская</cp:lastModifiedBy>
  <cp:revision>28</cp:revision>
  <dcterms:created xsi:type="dcterms:W3CDTF">2016-08-24T06:41:00Z</dcterms:created>
  <dcterms:modified xsi:type="dcterms:W3CDTF">2018-07-18T16:24:00Z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