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079" w:rsidRDefault="00CB1079" w:rsidP="00CB1079">
      <w:pPr>
        <w:jc w:val="both"/>
        <w:rPr>
          <w:sz w:val="22"/>
          <w:szCs w:val="22"/>
          <w:lang w:val="en-GB"/>
        </w:rPr>
      </w:pPr>
      <w:r>
        <w:rPr>
          <w:sz w:val="22"/>
          <w:szCs w:val="22"/>
          <w:lang w:val="en-GB"/>
        </w:rPr>
        <w:t xml:space="preserve">                                                                                                                       </w:t>
      </w:r>
      <w:r>
        <w:rPr>
          <w:noProof/>
          <w:sz w:val="22"/>
          <w:szCs w:val="22"/>
          <w:lang w:val="en-US" w:eastAsia="en-US"/>
        </w:rPr>
        <w:drawing>
          <wp:inline distT="0" distB="0" distL="0" distR="0">
            <wp:extent cx="1629410" cy="1503045"/>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t="8046" b="9195"/>
                    <a:stretch>
                      <a:fillRect/>
                    </a:stretch>
                  </pic:blipFill>
                  <pic:spPr bwMode="auto">
                    <a:xfrm>
                      <a:off x="0" y="0"/>
                      <a:ext cx="1629410" cy="1503045"/>
                    </a:xfrm>
                    <a:prstGeom prst="rect">
                      <a:avLst/>
                    </a:prstGeom>
                    <a:noFill/>
                    <a:ln w="9525">
                      <a:noFill/>
                      <a:miter lim="800000"/>
                      <a:headEnd/>
                      <a:tailEnd/>
                    </a:ln>
                  </pic:spPr>
                </pic:pic>
              </a:graphicData>
            </a:graphic>
          </wp:inline>
        </w:drawing>
      </w:r>
    </w:p>
    <w:p w:rsidR="00CB1079" w:rsidRPr="00CB1079" w:rsidRDefault="00CB1079" w:rsidP="00CB1079">
      <w:pPr>
        <w:spacing w:before="100" w:beforeAutospacing="1" w:after="100" w:afterAutospacing="1"/>
        <w:jc w:val="center"/>
        <w:outlineLvl w:val="0"/>
        <w:rPr>
          <w:b/>
          <w:sz w:val="28"/>
          <w:szCs w:val="28"/>
        </w:rPr>
      </w:pPr>
      <w:r w:rsidRPr="00CB1079">
        <w:rPr>
          <w:rFonts w:eastAsia="MS PGothic"/>
          <w:b/>
          <w:color w:val="000000"/>
          <w:sz w:val="28"/>
          <w:szCs w:val="28"/>
        </w:rPr>
        <w:t xml:space="preserve">Title: </w:t>
      </w:r>
      <w:r w:rsidRPr="00CB1079">
        <w:rPr>
          <w:b/>
          <w:bCs/>
          <w:kern w:val="36"/>
          <w:sz w:val="28"/>
          <w:szCs w:val="28"/>
        </w:rPr>
        <w:t>Enhancement of nutritional quality of plants</w:t>
      </w:r>
      <w:r w:rsidR="00B71EB7">
        <w:rPr>
          <w:b/>
          <w:bCs/>
          <w:kern w:val="36"/>
          <w:sz w:val="28"/>
          <w:szCs w:val="28"/>
        </w:rPr>
        <w:t>:</w:t>
      </w:r>
      <w:r w:rsidRPr="00CB1079">
        <w:rPr>
          <w:b/>
          <w:bCs/>
          <w:kern w:val="36"/>
          <w:sz w:val="28"/>
          <w:szCs w:val="28"/>
        </w:rPr>
        <w:t xml:space="preserve"> </w:t>
      </w:r>
      <w:r w:rsidRPr="00CB1079">
        <w:rPr>
          <w:b/>
          <w:sz w:val="28"/>
          <w:szCs w:val="28"/>
        </w:rPr>
        <w:t>Biotechnology intervention</w:t>
      </w:r>
    </w:p>
    <w:p w:rsidR="00CB1079" w:rsidRDefault="00CB1079" w:rsidP="00CB1079">
      <w:pPr>
        <w:ind w:left="810" w:hanging="810"/>
        <w:rPr>
          <w:rFonts w:eastAsia="MS PGothic"/>
          <w:b/>
          <w:color w:val="000000"/>
          <w:sz w:val="28"/>
          <w:szCs w:val="28"/>
        </w:rPr>
      </w:pPr>
    </w:p>
    <w:p w:rsidR="00CB1079" w:rsidRDefault="00CB1079" w:rsidP="00CB1079">
      <w:pPr>
        <w:jc w:val="center"/>
        <w:rPr>
          <w:rFonts w:eastAsia="MS PGothic" w:hAnsi="Arial"/>
          <w:color w:val="000000"/>
        </w:rPr>
      </w:pPr>
      <w:r>
        <w:rPr>
          <w:rFonts w:eastAsia="MS PGothic" w:hAnsi="Arial"/>
          <w:color w:val="000000"/>
        </w:rPr>
        <w:t>Yamini Tiwari</w:t>
      </w:r>
    </w:p>
    <w:p w:rsidR="00CB1079" w:rsidRDefault="00CB1079" w:rsidP="00CB1079">
      <w:pPr>
        <w:jc w:val="center"/>
        <w:rPr>
          <w:rFonts w:eastAsia="MS PGothic" w:hAnsi="Arial"/>
          <w:color w:val="000000"/>
        </w:rPr>
      </w:pPr>
      <w:r>
        <w:rPr>
          <w:rFonts w:eastAsia="MS PGothic" w:hAnsi="Arial"/>
          <w:color w:val="000000"/>
        </w:rPr>
        <w:t>Vivekananda Global University, India</w:t>
      </w:r>
    </w:p>
    <w:p w:rsidR="00CB1079" w:rsidRDefault="00CB1079" w:rsidP="00CB1079">
      <w:pPr>
        <w:rPr>
          <w:rFonts w:eastAsia="Batang"/>
          <w:color w:val="0000FF"/>
          <w:sz w:val="36"/>
          <w:szCs w:val="36"/>
        </w:rPr>
      </w:pPr>
    </w:p>
    <w:p w:rsidR="00CB1079" w:rsidRDefault="00CB1079" w:rsidP="00CB1079">
      <w:pPr>
        <w:jc w:val="both"/>
      </w:pPr>
      <w:r w:rsidRPr="00463FA3">
        <w:rPr>
          <w:bCs/>
        </w:rPr>
        <w:t xml:space="preserve">Malnutrition and chronic hunger are the major dilemma which sternly affects population worldwide. Besides malnutrition, nutrient deficiency can cause various acute ailments. Most of the world population relies on a single crop as their primary source of energy but these staple crops are usually deficient in micronutrients. Consequently, mental and physical health problems allied to micronutrient deficiencies affect overall growth of individuals. Along with the expansion of world population need of improving the nutritional quality of staple crops seems to be crucial. Enhancement </w:t>
      </w:r>
      <w:r>
        <w:rPr>
          <w:bCs/>
        </w:rPr>
        <w:t>o</w:t>
      </w:r>
      <w:r w:rsidRPr="00463FA3">
        <w:rPr>
          <w:bCs/>
        </w:rPr>
        <w:t xml:space="preserve">f nutritional quality came up to be an efficient and precise way out to the crisis. Traditional breeding exhibits limited success to the existing diversity in the gene pool. Conversely, biotechnology facilitates improvement of any nutrient, even those that are inadequate or outright lacking in a crop species. Furthermore, biotechnology expedites the process of bio-fortification as compared to conventional breeding. Genetic engineering has been effectively employed to enrich a broad variety of nutritional characters. </w:t>
      </w:r>
      <w:r>
        <w:t xml:space="preserve">By employing biotechnological techniques targeted biomolecule can be improved, protein modification, carbohydrate engineering, fatty acid modifications, vitamin and antioxidant content engineering, mineral content modification, reduction of plant allergens </w:t>
      </w:r>
      <w:r>
        <w:rPr>
          <w:i/>
        </w:rPr>
        <w:t xml:space="preserve">etc. </w:t>
      </w:r>
      <w:r>
        <w:t xml:space="preserve">can be carried out to enhance the nutritional quality of plants. </w:t>
      </w:r>
      <w:r w:rsidRPr="00463FA3">
        <w:t xml:space="preserve">In order to </w:t>
      </w:r>
      <w:r>
        <w:t>successfully</w:t>
      </w:r>
      <w:r w:rsidRPr="00463FA3">
        <w:t xml:space="preserve"> </w:t>
      </w:r>
      <w:r>
        <w:t>improve</w:t>
      </w:r>
      <w:r w:rsidRPr="00463FA3">
        <w:t xml:space="preserve"> a </w:t>
      </w:r>
      <w:r>
        <w:t>particular</w:t>
      </w:r>
      <w:r w:rsidRPr="00463FA3">
        <w:t xml:space="preserve"> metabolic trait, </w:t>
      </w:r>
      <w:r>
        <w:t>knowledge</w:t>
      </w:r>
      <w:r w:rsidRPr="00463FA3">
        <w:t xml:space="preserve"> of the biosynthetic pathway </w:t>
      </w:r>
      <w:r>
        <w:t>concerned</w:t>
      </w:r>
      <w:r w:rsidRPr="00463FA3">
        <w:t xml:space="preserve"> is</w:t>
      </w:r>
      <w:r w:rsidRPr="00FC5720">
        <w:t xml:space="preserve"> </w:t>
      </w:r>
      <w:r>
        <w:t>crucial</w:t>
      </w:r>
      <w:r w:rsidRPr="00463FA3">
        <w:t xml:space="preserve">. Functional genomics and gene discovery methods are </w:t>
      </w:r>
      <w:r>
        <w:t>beneficial</w:t>
      </w:r>
      <w:r w:rsidRPr="00463FA3">
        <w:t xml:space="preserve"> for </w:t>
      </w:r>
      <w:r>
        <w:t>explicating</w:t>
      </w:r>
      <w:r w:rsidRPr="00463FA3">
        <w:t xml:space="preserve"> such pathways. Relationships</w:t>
      </w:r>
      <w:r>
        <w:t xml:space="preserve"> </w:t>
      </w:r>
      <w:r w:rsidRPr="00463FA3">
        <w:t>among different biosynthetic pathways</w:t>
      </w:r>
      <w:r>
        <w:t xml:space="preserve"> must also be comprehended so as to </w:t>
      </w:r>
      <w:r w:rsidRPr="00463FA3">
        <w:t>modif</w:t>
      </w:r>
      <w:r>
        <w:t xml:space="preserve">y </w:t>
      </w:r>
      <w:r w:rsidRPr="00463FA3">
        <w:t xml:space="preserve">one pathway </w:t>
      </w:r>
      <w:r>
        <w:t xml:space="preserve">which </w:t>
      </w:r>
      <w:r w:rsidRPr="00463FA3">
        <w:t xml:space="preserve">may </w:t>
      </w:r>
      <w:r>
        <w:t>affect</w:t>
      </w:r>
      <w:r w:rsidRPr="00463FA3">
        <w:t xml:space="preserve"> </w:t>
      </w:r>
      <w:r>
        <w:t>other associated</w:t>
      </w:r>
      <w:r w:rsidRPr="00463FA3">
        <w:t xml:space="preserve"> pathways</w:t>
      </w:r>
      <w:r>
        <w:t>.</w:t>
      </w:r>
    </w:p>
    <w:p w:rsidR="00CB1079" w:rsidRDefault="00CB1079" w:rsidP="00CB1079">
      <w:pPr>
        <w:jc w:val="both"/>
        <w:rPr>
          <w:color w:val="000000"/>
        </w:rPr>
      </w:pPr>
    </w:p>
    <w:p w:rsidR="00CB1079" w:rsidRDefault="00CB1079" w:rsidP="00CB1079">
      <w:pPr>
        <w:jc w:val="both"/>
        <w:rPr>
          <w:b/>
        </w:rPr>
      </w:pPr>
      <w:r>
        <w:rPr>
          <w:b/>
        </w:rPr>
        <w:t>Biography</w:t>
      </w:r>
    </w:p>
    <w:p w:rsidR="00CB1079" w:rsidRDefault="00CB1079" w:rsidP="00CB1079">
      <w:pPr>
        <w:jc w:val="both"/>
        <w:rPr>
          <w:b/>
        </w:rPr>
      </w:pPr>
    </w:p>
    <w:p w:rsidR="00CB1079" w:rsidRPr="00A41107" w:rsidRDefault="00CB1079" w:rsidP="00CB1079">
      <w:pPr>
        <w:jc w:val="both"/>
        <w:rPr>
          <w:rFonts w:eastAsia="MS PGothic"/>
          <w:b/>
          <w:color w:val="000000"/>
          <w:szCs w:val="32"/>
        </w:rPr>
      </w:pPr>
      <w:r>
        <w:t xml:space="preserve">Yamini Tiwari has completed her PhD in Biotechnology from Jayotividyapeeth Women’s  University. She is Assistant Professor, in Department of Agriculture, at  </w:t>
      </w:r>
      <w:r>
        <w:rPr>
          <w:rFonts w:eastAsia="MS PGothic" w:hAnsi="Arial"/>
          <w:color w:val="000000"/>
        </w:rPr>
        <w:t>Vivekananda Global University, India</w:t>
      </w:r>
      <w:r>
        <w:t>. She has published 5 papers in reputed journals and has been serving as an editorial board member of repute.</w:t>
      </w:r>
      <w:r>
        <w:br/>
      </w:r>
    </w:p>
    <w:p w:rsidR="00CB1079" w:rsidRPr="008A690F" w:rsidRDefault="00CB1079" w:rsidP="00CB1079">
      <w:pPr>
        <w:autoSpaceDE w:val="0"/>
        <w:autoSpaceDN w:val="0"/>
        <w:adjustRightInd w:val="0"/>
        <w:rPr>
          <w:b/>
          <w:lang w:val="en-NZ"/>
        </w:rPr>
      </w:pPr>
      <w:r w:rsidRPr="008A690F">
        <w:rPr>
          <w:b/>
          <w:lang w:val="en-NZ"/>
        </w:rPr>
        <w:t xml:space="preserve">Presenting author details </w:t>
      </w:r>
      <w:r w:rsidRPr="008A690F">
        <w:rPr>
          <w:b/>
          <w:lang w:val="en-NZ"/>
        </w:rPr>
        <w:br/>
      </w:r>
      <w:r>
        <w:rPr>
          <w:lang w:val="en-NZ"/>
        </w:rPr>
        <w:t xml:space="preserve">Full name: </w:t>
      </w:r>
      <w:proofErr w:type="spellStart"/>
      <w:r>
        <w:rPr>
          <w:lang w:val="en-NZ"/>
        </w:rPr>
        <w:t>Yamini</w:t>
      </w:r>
      <w:proofErr w:type="spellEnd"/>
      <w:r>
        <w:rPr>
          <w:lang w:val="en-NZ"/>
        </w:rPr>
        <w:t xml:space="preserve"> </w:t>
      </w:r>
      <w:proofErr w:type="spellStart"/>
      <w:r>
        <w:rPr>
          <w:lang w:val="en-NZ"/>
        </w:rPr>
        <w:t>Tiwari</w:t>
      </w:r>
      <w:proofErr w:type="spellEnd"/>
      <w:r w:rsidRPr="008A690F">
        <w:rPr>
          <w:lang w:val="en-NZ"/>
        </w:rPr>
        <w:br/>
        <w:t>Contact number</w:t>
      </w:r>
      <w:proofErr w:type="gramStart"/>
      <w:r w:rsidRPr="008A690F">
        <w:rPr>
          <w:lang w:val="en-NZ"/>
        </w:rPr>
        <w:t>:</w:t>
      </w:r>
      <w:r>
        <w:rPr>
          <w:lang w:val="en-NZ"/>
        </w:rPr>
        <w:t>+</w:t>
      </w:r>
      <w:proofErr w:type="gramEnd"/>
      <w:r>
        <w:rPr>
          <w:lang w:val="en-NZ"/>
        </w:rPr>
        <w:t>91-8949393026</w:t>
      </w:r>
      <w:r w:rsidRPr="008A690F">
        <w:rPr>
          <w:lang w:val="en-NZ"/>
        </w:rPr>
        <w:br/>
        <w:t>Linked In account:</w:t>
      </w:r>
      <w:r>
        <w:rPr>
          <w:lang w:val="en-NZ"/>
        </w:rPr>
        <w:t xml:space="preserve"> </w:t>
      </w:r>
      <w:bookmarkStart w:id="0" w:name="webProfileURL"/>
      <w:r>
        <w:rPr>
          <w:rFonts w:ascii="Cambria" w:hAnsi="Cambria"/>
          <w:sz w:val="20"/>
          <w:szCs w:val="20"/>
        </w:rPr>
        <w:fldChar w:fldCharType="begin"/>
      </w:r>
      <w:r>
        <w:rPr>
          <w:rFonts w:ascii="Cambria" w:hAnsi="Cambria"/>
          <w:sz w:val="20"/>
          <w:szCs w:val="20"/>
        </w:rPr>
        <w:instrText xml:space="preserve"> HYPERLINK "http://</w:instrText>
      </w:r>
      <w:r w:rsidRPr="00272AF1">
        <w:rPr>
          <w:rFonts w:ascii="Cambria" w:hAnsi="Cambria"/>
          <w:sz w:val="20"/>
          <w:szCs w:val="20"/>
        </w:rPr>
        <w:instrText>www.linkedin.com/in/yamini-tiwari-</w:instrText>
      </w:r>
      <w:r>
        <w:rPr>
          <w:rFonts w:ascii="Cambria" w:hAnsi="Cambria"/>
          <w:sz w:val="20"/>
          <w:szCs w:val="20"/>
        </w:rPr>
        <w:instrText xml:space="preserve">73415064" </w:instrText>
      </w:r>
      <w:r>
        <w:rPr>
          <w:rFonts w:ascii="Cambria" w:hAnsi="Cambria"/>
          <w:sz w:val="20"/>
          <w:szCs w:val="20"/>
        </w:rPr>
        <w:fldChar w:fldCharType="separate"/>
      </w:r>
      <w:r w:rsidRPr="004C6565">
        <w:rPr>
          <w:rStyle w:val="Hyperlink"/>
          <w:sz w:val="20"/>
          <w:szCs w:val="20"/>
        </w:rPr>
        <w:t>www.linkedin.com/in/yamini-tiwari-</w:t>
      </w:r>
      <w:bookmarkEnd w:id="0"/>
      <w:r w:rsidRPr="004C6565">
        <w:rPr>
          <w:rStyle w:val="Hyperlink"/>
          <w:sz w:val="20"/>
          <w:szCs w:val="20"/>
        </w:rPr>
        <w:t>73415064</w:t>
      </w:r>
      <w:r>
        <w:rPr>
          <w:rFonts w:ascii="Cambria" w:hAnsi="Cambria"/>
          <w:sz w:val="20"/>
          <w:szCs w:val="20"/>
        </w:rPr>
        <w:fldChar w:fldCharType="end"/>
      </w:r>
    </w:p>
    <w:p w:rsidR="00CB1079" w:rsidRDefault="00CB1079" w:rsidP="00CB1079">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w:t>
      </w:r>
    </w:p>
    <w:p w:rsidR="00331FA7" w:rsidRDefault="00331FA7"/>
    <w:sectPr w:rsidR="00331FA7"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B71EB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B71EB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B71EB7">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B71EB7">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B71EB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B71EB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CB1079"/>
    <w:rsid w:val="00261240"/>
    <w:rsid w:val="00331FA7"/>
    <w:rsid w:val="00B71EB7"/>
    <w:rsid w:val="00CB10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079"/>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B1079"/>
    <w:rPr>
      <w:rFonts w:cs="Times New Roman"/>
      <w:color w:val="0000FF"/>
      <w:u w:val="single"/>
    </w:rPr>
  </w:style>
  <w:style w:type="paragraph" w:styleId="Header">
    <w:name w:val="header"/>
    <w:basedOn w:val="Normal"/>
    <w:link w:val="HeaderChar"/>
    <w:uiPriority w:val="99"/>
    <w:unhideWhenUsed/>
    <w:rsid w:val="00CB1079"/>
    <w:pPr>
      <w:tabs>
        <w:tab w:val="center" w:pos="4819"/>
        <w:tab w:val="right" w:pos="9638"/>
      </w:tabs>
    </w:pPr>
    <w:rPr>
      <w:lang/>
    </w:rPr>
  </w:style>
  <w:style w:type="character" w:customStyle="1" w:styleId="HeaderChar">
    <w:name w:val="Header Char"/>
    <w:basedOn w:val="DefaultParagraphFont"/>
    <w:link w:val="Header"/>
    <w:uiPriority w:val="99"/>
    <w:rsid w:val="00CB1079"/>
    <w:rPr>
      <w:rFonts w:ascii="Times New Roman" w:eastAsia="Times New Roman" w:hAnsi="Times New Roman" w:cs="Times New Roman"/>
      <w:sz w:val="24"/>
      <w:szCs w:val="24"/>
      <w:lang/>
    </w:rPr>
  </w:style>
  <w:style w:type="paragraph" w:styleId="Footer">
    <w:name w:val="footer"/>
    <w:basedOn w:val="Normal"/>
    <w:link w:val="FooterChar"/>
    <w:uiPriority w:val="99"/>
    <w:semiHidden/>
    <w:unhideWhenUsed/>
    <w:rsid w:val="00CB1079"/>
    <w:pPr>
      <w:tabs>
        <w:tab w:val="center" w:pos="4819"/>
        <w:tab w:val="right" w:pos="9638"/>
      </w:tabs>
    </w:pPr>
    <w:rPr>
      <w:lang/>
    </w:rPr>
  </w:style>
  <w:style w:type="character" w:customStyle="1" w:styleId="FooterChar">
    <w:name w:val="Footer Char"/>
    <w:basedOn w:val="DefaultParagraphFont"/>
    <w:link w:val="Footer"/>
    <w:uiPriority w:val="99"/>
    <w:semiHidden/>
    <w:rsid w:val="00CB1079"/>
    <w:rPr>
      <w:rFonts w:ascii="Times New Roman" w:eastAsia="Times New Roman" w:hAnsi="Times New Roman" w:cs="Times New Roman"/>
      <w:sz w:val="24"/>
      <w:szCs w:val="24"/>
      <w:lang/>
    </w:rPr>
  </w:style>
  <w:style w:type="paragraph" w:styleId="BalloonText">
    <w:name w:val="Balloon Text"/>
    <w:basedOn w:val="Normal"/>
    <w:link w:val="BalloonTextChar"/>
    <w:uiPriority w:val="99"/>
    <w:semiHidden/>
    <w:unhideWhenUsed/>
    <w:rsid w:val="00CB1079"/>
    <w:rPr>
      <w:rFonts w:ascii="Tahoma" w:hAnsi="Tahoma" w:cs="Tahoma"/>
      <w:sz w:val="16"/>
      <w:szCs w:val="16"/>
    </w:rPr>
  </w:style>
  <w:style w:type="character" w:customStyle="1" w:styleId="BalloonTextChar">
    <w:name w:val="Balloon Text Char"/>
    <w:basedOn w:val="DefaultParagraphFont"/>
    <w:link w:val="BalloonText"/>
    <w:uiPriority w:val="99"/>
    <w:semiHidden/>
    <w:rsid w:val="00CB1079"/>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png"/><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393</Words>
  <Characters>2243</Characters>
  <Application>Microsoft Office Word</Application>
  <DocSecurity>0</DocSecurity>
  <Lines>18</Lines>
  <Paragraphs>5</Paragraphs>
  <ScaleCrop>false</ScaleCrop>
  <Company/>
  <LinksUpToDate>false</LinksUpToDate>
  <CharactersWithSpaces>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2019-12-27T07:39:00Z</dcterms:created>
  <dcterms:modified xsi:type="dcterms:W3CDTF">2019-12-27T07:48:00Z</dcterms:modified>
</cp:coreProperties>
</file>