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8477F8" w:rsidP="00557169">
      <w:pPr>
        <w:pStyle w:val="1"/>
        <w:spacing w:before="170"/>
        <w:ind w:left="0"/>
      </w:pPr>
      <w:r>
        <w:rPr>
          <w:color w:val="337AB7"/>
        </w:rPr>
        <w:t xml:space="preserve">Title: </w:t>
      </w:r>
      <w:r w:rsidR="00F937BF" w:rsidRPr="00F937BF">
        <w:rPr>
          <w:color w:val="337AB7"/>
        </w:rPr>
        <w:t>Adiposity mediates the association between diet quality and glycemia</w:t>
      </w:r>
      <w:r w:rsidR="00F937BF">
        <w:rPr>
          <w:color w:val="337AB7"/>
        </w:rPr>
        <w:t xml:space="preserve"> </w:t>
      </w:r>
      <w:r w:rsidR="00F937BF" w:rsidRPr="00F937BF">
        <w:rPr>
          <w:rFonts w:hint="eastAsia"/>
          <w:color w:val="337AB7"/>
        </w:rPr>
        <w:t>in</w:t>
      </w:r>
      <w:r w:rsidR="00F937BF">
        <w:rPr>
          <w:color w:val="337AB7"/>
        </w:rPr>
        <w:t xml:space="preserve"> Chinese adults</w:t>
      </w:r>
    </w:p>
    <w:p w:rsidR="00AE3E37" w:rsidRDefault="00F937BF">
      <w:pPr>
        <w:pStyle w:val="a3"/>
        <w:spacing w:before="73" w:line="198" w:lineRule="exact"/>
        <w:ind w:left="100" w:right="5967"/>
        <w:rPr>
          <w:rFonts w:ascii="Arial"/>
        </w:rPr>
      </w:pPr>
      <w:r>
        <w:rPr>
          <w:rFonts w:ascii="Arial"/>
        </w:rPr>
        <w:t xml:space="preserve">Kaifeng Li, </w:t>
      </w:r>
      <w:r w:rsidR="00A9710C">
        <w:rPr>
          <w:rFonts w:ascii="Arial"/>
        </w:rPr>
        <w:t xml:space="preserve">PhD, </w:t>
      </w:r>
      <w:r>
        <w:rPr>
          <w:rFonts w:ascii="Arial"/>
        </w:rPr>
        <w:t>China Agricultural University,</w:t>
      </w:r>
      <w:r w:rsidR="00A57937">
        <w:rPr>
          <w:rFonts w:ascii="Arial"/>
        </w:rPr>
        <w:t xml:space="preserve"> </w:t>
      </w:r>
      <w:r>
        <w:rPr>
          <w:rFonts w:ascii="Arial"/>
        </w:rPr>
        <w:t>China</w:t>
      </w:r>
    </w:p>
    <w:p w:rsidR="00AE3E37" w:rsidRDefault="00AE3E37">
      <w:pPr>
        <w:pStyle w:val="a3"/>
        <w:rPr>
          <w:rFonts w:ascii="Arial"/>
          <w:sz w:val="20"/>
        </w:rPr>
      </w:pPr>
    </w:p>
    <w:p w:rsidR="00AE3E37" w:rsidRDefault="00665B72">
      <w:pPr>
        <w:pStyle w:val="a3"/>
        <w:spacing w:before="3"/>
        <w:rPr>
          <w:rFonts w:ascii="Arial"/>
          <w:sz w:val="21"/>
        </w:rPr>
      </w:pPr>
      <w:r>
        <w:rPr>
          <w:noProof/>
          <w:color w:val="BF5A14"/>
        </w:rPr>
        <w:drawing>
          <wp:anchor distT="0" distB="0" distL="114300" distR="114300" simplePos="0" relativeHeight="251659776" behindDoc="1" locked="0" layoutInCell="1" allowOverlap="1" wp14:anchorId="3B4E97CA">
            <wp:simplePos x="0" y="0"/>
            <wp:positionH relativeFrom="column">
              <wp:posOffset>3460750</wp:posOffset>
            </wp:positionH>
            <wp:positionV relativeFrom="paragraph">
              <wp:posOffset>304165</wp:posOffset>
            </wp:positionV>
            <wp:extent cx="3086100" cy="1684655"/>
            <wp:effectExtent l="0" t="0" r="0"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6100" cy="1684655"/>
                    </a:xfrm>
                    <a:prstGeom prst="rect">
                      <a:avLst/>
                    </a:prstGeom>
                    <a:noFill/>
                  </pic:spPr>
                </pic:pic>
              </a:graphicData>
            </a:graphic>
            <wp14:sizeRelH relativeFrom="margin">
              <wp14:pctWidth>0</wp14:pctWidth>
            </wp14:sizeRelH>
            <wp14:sizeRelV relativeFrom="margin">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r w:rsidR="004A3A3F">
        <w:rPr>
          <w:color w:val="BF5A14"/>
        </w:rPr>
        <w:t>:</w:t>
      </w:r>
    </w:p>
    <w:p w:rsidR="00AE3E37" w:rsidRPr="00A57937" w:rsidRDefault="00A57937" w:rsidP="00887907">
      <w:pPr>
        <w:pStyle w:val="3"/>
        <w:spacing w:before="74" w:line="360" w:lineRule="auto"/>
        <w:rPr>
          <w:rFonts w:ascii="Cambria" w:eastAsia="Tw Cen MT" w:hAnsi="Cambria" w:cs="Tw Cen MT"/>
          <w:b w:val="0"/>
          <w:bCs w:val="0"/>
          <w:noProof/>
          <w:sz w:val="16"/>
          <w:szCs w:val="16"/>
        </w:rPr>
      </w:pPr>
      <w:r w:rsidRPr="00A57937">
        <w:rPr>
          <w:rFonts w:ascii="Cambria" w:eastAsia="Tw Cen MT" w:hAnsi="Cambria" w:cs="Tw Cen MT"/>
          <w:b w:val="0"/>
          <w:bCs w:val="0"/>
          <w:noProof/>
          <w:sz w:val="16"/>
          <w:szCs w:val="16"/>
        </w:rPr>
        <w:t>Background &amp; Aims: Nearly 11.6 % of Chinese adults had diabetes and 50.1 % had prediabetes. Diet quality and adiposity are related to risk of diabetes, however, the mediation role of adiposity in the relationship between diet quality and glycemia in Chinese adults has been poorly documented. Methods: Adults (n=7135) aged over 18 years with dietary and biochemistry biomarker data in the Chine Health and Nutrition Survey in 2009 was included in the study. Mediation model was used to explore the mediation role of adiposity (BMI and waist circumference) between the Chinese diet balance index and level of serum hemoglobin A1c.</w:t>
      </w:r>
      <w:r>
        <w:rPr>
          <w:rFonts w:ascii="Cambria" w:eastAsiaTheme="minorEastAsia" w:hAnsi="Cambria" w:cs="Tw Cen MT" w:hint="eastAsia"/>
          <w:b w:val="0"/>
          <w:bCs w:val="0"/>
          <w:noProof/>
          <w:sz w:val="16"/>
          <w:szCs w:val="16"/>
          <w:lang w:eastAsia="zh-CN"/>
        </w:rPr>
        <w:t xml:space="preserve"> </w:t>
      </w:r>
      <w:r w:rsidRPr="00A57937">
        <w:rPr>
          <w:rFonts w:ascii="Cambria" w:eastAsia="Tw Cen MT" w:hAnsi="Cambria" w:cs="Tw Cen MT"/>
          <w:b w:val="0"/>
          <w:bCs w:val="0"/>
          <w:noProof/>
          <w:sz w:val="16"/>
          <w:szCs w:val="16"/>
        </w:rPr>
        <w:t xml:space="preserve">Results: After adjustment for age, gender, energy, smoking, urbanization, physical activity and individual annual income, participants with less extent of diet deficit (β: -0.29, 95 % CI: -0.52, -0.07) and diet imbalance (β: -0.15, 95 % CI: -0.28, -0.02) showed significantly lower hemoglobin A1c, with substantial proportion of the total effects being mediated by adiposity (ranged from 15.5 % to 30.2 %). </w:t>
      </w:r>
      <w:r>
        <w:rPr>
          <w:rFonts w:ascii="Cambria" w:eastAsiaTheme="minorEastAsia" w:hAnsi="Cambria" w:cs="Tw Cen MT" w:hint="eastAsia"/>
          <w:b w:val="0"/>
          <w:bCs w:val="0"/>
          <w:noProof/>
          <w:sz w:val="16"/>
          <w:szCs w:val="16"/>
          <w:lang w:eastAsia="zh-CN"/>
        </w:rPr>
        <w:t xml:space="preserve"> </w:t>
      </w:r>
      <w:r w:rsidRPr="00A57937">
        <w:rPr>
          <w:rFonts w:ascii="Cambria" w:eastAsia="Tw Cen MT" w:hAnsi="Cambria" w:cs="Tw Cen MT"/>
          <w:b w:val="0"/>
          <w:bCs w:val="0"/>
          <w:noProof/>
          <w:sz w:val="16"/>
          <w:szCs w:val="16"/>
        </w:rPr>
        <w:t xml:space="preserve">Conclusions: In conclusion, diet quality was strongly associated with lower levels of serum hemoglobin A1c in Chinese adults. Our results also showed that adiposity may </w:t>
      </w:r>
      <w:bookmarkStart w:id="0" w:name="_GoBack"/>
      <w:bookmarkEnd w:id="0"/>
      <w:r w:rsidRPr="00A57937">
        <w:rPr>
          <w:rFonts w:ascii="Cambria" w:eastAsia="Tw Cen MT" w:hAnsi="Cambria" w:cs="Tw Cen MT"/>
          <w:b w:val="0"/>
          <w:bCs w:val="0"/>
          <w:noProof/>
          <w:sz w:val="16"/>
          <w:szCs w:val="16"/>
        </w:rPr>
        <w:t>exert substantial mediation effects in the relationship between diet deficit, diet imbalance and glycemia in Chines population.</w:t>
      </w:r>
      <w:r w:rsidR="00A9710C">
        <w:rPr>
          <w:b w:val="0"/>
        </w:rPr>
        <w:br w:type="column"/>
      </w:r>
      <w:r w:rsidR="00A9710C">
        <w:rPr>
          <w:color w:val="BF5A14"/>
        </w:rPr>
        <w:t>Image</w:t>
      </w:r>
      <w:r w:rsidR="004A3A3F">
        <w:rPr>
          <w:color w:val="BF5A14"/>
        </w:rPr>
        <w:t>:</w:t>
      </w: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A57937" w:rsidRDefault="00A57937" w:rsidP="00A57937">
      <w:pPr>
        <w:pStyle w:val="a4"/>
        <w:numPr>
          <w:ilvl w:val="0"/>
          <w:numId w:val="2"/>
        </w:numPr>
        <w:tabs>
          <w:tab w:val="left" w:pos="384"/>
        </w:tabs>
        <w:ind w:right="117"/>
        <w:rPr>
          <w:rFonts w:asciiTheme="majorHAnsi" w:hAnsiTheme="majorHAnsi"/>
          <w:sz w:val="16"/>
          <w:szCs w:val="16"/>
        </w:rPr>
      </w:pPr>
      <w:r w:rsidRPr="00A57937">
        <w:rPr>
          <w:rFonts w:asciiTheme="majorHAnsi" w:hAnsiTheme="majorHAnsi"/>
          <w:sz w:val="16"/>
          <w:szCs w:val="16"/>
        </w:rPr>
        <w:t xml:space="preserve">Li, K., McNulty, B. A., </w:t>
      </w:r>
      <w:proofErr w:type="spellStart"/>
      <w:r w:rsidRPr="00A57937">
        <w:rPr>
          <w:rFonts w:asciiTheme="majorHAnsi" w:hAnsiTheme="majorHAnsi"/>
          <w:sz w:val="16"/>
          <w:szCs w:val="16"/>
        </w:rPr>
        <w:t>Tiernery</w:t>
      </w:r>
      <w:proofErr w:type="spellEnd"/>
      <w:r w:rsidRPr="00A57937">
        <w:rPr>
          <w:rFonts w:asciiTheme="majorHAnsi" w:hAnsiTheme="majorHAnsi"/>
          <w:sz w:val="16"/>
          <w:szCs w:val="16"/>
        </w:rPr>
        <w:t xml:space="preserve">, A. M., Devlin, N. F., Joyce, T., </w:t>
      </w:r>
      <w:proofErr w:type="spellStart"/>
      <w:r w:rsidRPr="00A57937">
        <w:rPr>
          <w:rFonts w:asciiTheme="majorHAnsi" w:hAnsiTheme="majorHAnsi"/>
          <w:sz w:val="16"/>
          <w:szCs w:val="16"/>
        </w:rPr>
        <w:t>Leite</w:t>
      </w:r>
      <w:proofErr w:type="spellEnd"/>
      <w:r w:rsidRPr="00A57937">
        <w:rPr>
          <w:rFonts w:asciiTheme="majorHAnsi" w:hAnsiTheme="majorHAnsi"/>
          <w:sz w:val="16"/>
          <w:szCs w:val="16"/>
        </w:rPr>
        <w:t>, J. C., et al.</w:t>
      </w:r>
      <w:r>
        <w:rPr>
          <w:rFonts w:asciiTheme="majorHAnsi" w:hAnsiTheme="majorHAnsi"/>
          <w:sz w:val="16"/>
          <w:szCs w:val="16"/>
        </w:rPr>
        <w:t xml:space="preserve"> </w:t>
      </w:r>
      <w:r w:rsidRPr="00A57937">
        <w:rPr>
          <w:rFonts w:asciiTheme="majorHAnsi" w:hAnsiTheme="majorHAnsi"/>
          <w:sz w:val="16"/>
          <w:szCs w:val="16"/>
        </w:rPr>
        <w:t>(2016). Dietary fat intakes in Irish adults in 2011: how much has changed in 10 years?</w:t>
      </w:r>
      <w:r>
        <w:rPr>
          <w:rFonts w:asciiTheme="majorHAnsi" w:hAnsiTheme="majorHAnsi"/>
          <w:sz w:val="16"/>
          <w:szCs w:val="16"/>
        </w:rPr>
        <w:t xml:space="preserve"> </w:t>
      </w:r>
      <w:r w:rsidRPr="00A57937">
        <w:rPr>
          <w:rFonts w:asciiTheme="majorHAnsi" w:hAnsiTheme="majorHAnsi"/>
          <w:sz w:val="16"/>
          <w:szCs w:val="16"/>
        </w:rPr>
        <w:t xml:space="preserve">Brit J </w:t>
      </w:r>
      <w:proofErr w:type="spellStart"/>
      <w:r w:rsidRPr="00A57937">
        <w:rPr>
          <w:rFonts w:asciiTheme="majorHAnsi" w:hAnsiTheme="majorHAnsi"/>
          <w:sz w:val="16"/>
          <w:szCs w:val="16"/>
        </w:rPr>
        <w:t>Nutr</w:t>
      </w:r>
      <w:proofErr w:type="spellEnd"/>
      <w:r w:rsidRPr="00A57937">
        <w:rPr>
          <w:rFonts w:asciiTheme="majorHAnsi" w:hAnsiTheme="majorHAnsi"/>
          <w:sz w:val="16"/>
          <w:szCs w:val="16"/>
        </w:rPr>
        <w:t>, 115 (10), 1798-1809.</w:t>
      </w:r>
    </w:p>
    <w:p w:rsidR="00A57937" w:rsidRDefault="00A57937" w:rsidP="00A57937">
      <w:pPr>
        <w:pStyle w:val="a4"/>
        <w:numPr>
          <w:ilvl w:val="0"/>
          <w:numId w:val="2"/>
        </w:numPr>
        <w:tabs>
          <w:tab w:val="left" w:pos="384"/>
        </w:tabs>
        <w:ind w:right="118"/>
        <w:rPr>
          <w:rFonts w:asciiTheme="majorHAnsi" w:hAnsiTheme="majorHAnsi"/>
          <w:sz w:val="16"/>
          <w:szCs w:val="16"/>
        </w:rPr>
      </w:pPr>
      <w:r w:rsidRPr="00A57937">
        <w:rPr>
          <w:rFonts w:asciiTheme="majorHAnsi" w:hAnsiTheme="majorHAnsi"/>
          <w:sz w:val="16"/>
          <w:szCs w:val="16"/>
        </w:rPr>
        <w:t>Li, K., Brennan, L., McNulty, B. A., Bloomfield, J. F., Duff, D. J., Devlin, N. F.</w:t>
      </w:r>
      <w:r>
        <w:rPr>
          <w:rFonts w:asciiTheme="majorHAnsi" w:hAnsiTheme="majorHAnsi"/>
          <w:sz w:val="16"/>
          <w:szCs w:val="16"/>
        </w:rPr>
        <w:t xml:space="preserve"> </w:t>
      </w:r>
      <w:r w:rsidRPr="00A57937">
        <w:rPr>
          <w:rFonts w:asciiTheme="majorHAnsi" w:hAnsiTheme="majorHAnsi"/>
          <w:sz w:val="16"/>
          <w:szCs w:val="16"/>
        </w:rPr>
        <w:t xml:space="preserve">C., et al. (2016). Plasma fatty acid patterns reflect dietary habits and metabolic </w:t>
      </w:r>
      <w:proofErr w:type="spellStart"/>
      <w:proofErr w:type="gramStart"/>
      <w:r w:rsidRPr="00A57937">
        <w:rPr>
          <w:rFonts w:asciiTheme="majorHAnsi" w:hAnsiTheme="majorHAnsi"/>
          <w:sz w:val="16"/>
          <w:szCs w:val="16"/>
        </w:rPr>
        <w:t>health:A</w:t>
      </w:r>
      <w:proofErr w:type="spellEnd"/>
      <w:proofErr w:type="gramEnd"/>
      <w:r w:rsidRPr="00A57937">
        <w:rPr>
          <w:rFonts w:asciiTheme="majorHAnsi" w:hAnsiTheme="majorHAnsi"/>
          <w:sz w:val="16"/>
          <w:szCs w:val="16"/>
        </w:rPr>
        <w:t xml:space="preserve"> cross-sectional study. </w:t>
      </w:r>
      <w:proofErr w:type="spellStart"/>
      <w:r w:rsidRPr="00A57937">
        <w:rPr>
          <w:rFonts w:asciiTheme="majorHAnsi" w:hAnsiTheme="majorHAnsi"/>
          <w:sz w:val="16"/>
          <w:szCs w:val="16"/>
        </w:rPr>
        <w:t>Mol</w:t>
      </w:r>
      <w:proofErr w:type="spellEnd"/>
      <w:r w:rsidRPr="00A57937">
        <w:rPr>
          <w:rFonts w:asciiTheme="majorHAnsi" w:hAnsiTheme="majorHAnsi"/>
          <w:sz w:val="16"/>
          <w:szCs w:val="16"/>
        </w:rPr>
        <w:t xml:space="preserve"> </w:t>
      </w:r>
      <w:proofErr w:type="spellStart"/>
      <w:r w:rsidRPr="00A57937">
        <w:rPr>
          <w:rFonts w:asciiTheme="majorHAnsi" w:hAnsiTheme="majorHAnsi"/>
          <w:sz w:val="16"/>
          <w:szCs w:val="16"/>
        </w:rPr>
        <w:t>Nutr</w:t>
      </w:r>
      <w:proofErr w:type="spellEnd"/>
      <w:r w:rsidRPr="00A57937">
        <w:rPr>
          <w:rFonts w:asciiTheme="majorHAnsi" w:hAnsiTheme="majorHAnsi"/>
          <w:sz w:val="16"/>
          <w:szCs w:val="16"/>
        </w:rPr>
        <w:t xml:space="preserve"> Food Res, 60 (9), 2043-2052</w:t>
      </w:r>
      <w:r>
        <w:rPr>
          <w:rFonts w:asciiTheme="majorHAnsi" w:hAnsiTheme="majorHAnsi"/>
          <w:sz w:val="16"/>
          <w:szCs w:val="16"/>
        </w:rPr>
        <w:t>.</w:t>
      </w:r>
    </w:p>
    <w:p w:rsidR="00AE3E37" w:rsidRPr="00A57937" w:rsidRDefault="00A57937" w:rsidP="00A57937">
      <w:pPr>
        <w:pStyle w:val="a4"/>
        <w:numPr>
          <w:ilvl w:val="0"/>
          <w:numId w:val="2"/>
        </w:numPr>
        <w:tabs>
          <w:tab w:val="left" w:pos="384"/>
        </w:tabs>
        <w:ind w:right="118"/>
        <w:rPr>
          <w:rFonts w:asciiTheme="majorHAnsi" w:hAnsiTheme="majorHAnsi"/>
          <w:sz w:val="16"/>
          <w:szCs w:val="16"/>
        </w:rPr>
        <w:sectPr w:rsidR="00AE3E37" w:rsidRPr="00A57937">
          <w:type w:val="continuous"/>
          <w:pgSz w:w="11910" w:h="16840"/>
          <w:pgMar w:top="1740" w:right="600" w:bottom="840" w:left="620" w:header="720" w:footer="720" w:gutter="0"/>
          <w:cols w:num="2" w:space="720" w:equalWidth="0">
            <w:col w:w="5214" w:space="138"/>
            <w:col w:w="5338"/>
          </w:cols>
        </w:sectPr>
      </w:pPr>
      <w:r w:rsidRPr="00A57937">
        <w:rPr>
          <w:rFonts w:asciiTheme="majorHAnsi" w:hAnsiTheme="majorHAnsi"/>
          <w:sz w:val="16"/>
          <w:szCs w:val="16"/>
        </w:rPr>
        <w:t>Li, K., Brennan, L., Bloomfield, J. F., Duff, D. J., McNulty, B. A., Flynn, A., et</w:t>
      </w:r>
      <w:r>
        <w:rPr>
          <w:rFonts w:asciiTheme="majorHAnsi" w:hAnsiTheme="majorHAnsi"/>
          <w:sz w:val="16"/>
          <w:szCs w:val="16"/>
        </w:rPr>
        <w:t xml:space="preserve"> </w:t>
      </w:r>
      <w:r w:rsidRPr="00A57937">
        <w:rPr>
          <w:rFonts w:asciiTheme="majorHAnsi" w:hAnsiTheme="majorHAnsi"/>
          <w:sz w:val="16"/>
          <w:szCs w:val="16"/>
        </w:rPr>
        <w:t>al. (2018). Adiposity associated plasma linoleic acid is related to demographic,</w:t>
      </w:r>
      <w:r>
        <w:rPr>
          <w:rFonts w:asciiTheme="majorHAnsi" w:hAnsiTheme="majorHAnsi"/>
          <w:sz w:val="16"/>
          <w:szCs w:val="16"/>
        </w:rPr>
        <w:t xml:space="preserve"> </w:t>
      </w:r>
      <w:r w:rsidRPr="00A57937">
        <w:rPr>
          <w:rFonts w:asciiTheme="majorHAnsi" w:hAnsiTheme="majorHAnsi"/>
          <w:sz w:val="16"/>
          <w:szCs w:val="16"/>
        </w:rPr>
        <w:t xml:space="preserve">metabolic health and haplotypes of FADS 1/2 genes in Irish adults. </w:t>
      </w:r>
      <w:proofErr w:type="spellStart"/>
      <w:r w:rsidRPr="00A57937">
        <w:rPr>
          <w:rFonts w:asciiTheme="majorHAnsi" w:hAnsiTheme="majorHAnsi"/>
          <w:sz w:val="16"/>
          <w:szCs w:val="16"/>
        </w:rPr>
        <w:t>Mol</w:t>
      </w:r>
      <w:proofErr w:type="spellEnd"/>
      <w:r w:rsidRPr="00A57937">
        <w:rPr>
          <w:rFonts w:asciiTheme="majorHAnsi" w:hAnsiTheme="majorHAnsi"/>
          <w:sz w:val="16"/>
          <w:szCs w:val="16"/>
        </w:rPr>
        <w:t xml:space="preserve"> </w:t>
      </w:r>
      <w:proofErr w:type="spellStart"/>
      <w:r w:rsidRPr="00A57937">
        <w:rPr>
          <w:rFonts w:asciiTheme="majorHAnsi" w:hAnsiTheme="majorHAnsi"/>
          <w:sz w:val="16"/>
          <w:szCs w:val="16"/>
        </w:rPr>
        <w:t>Nutr</w:t>
      </w:r>
      <w:proofErr w:type="spellEnd"/>
      <w:r w:rsidRPr="00A57937">
        <w:rPr>
          <w:rFonts w:asciiTheme="majorHAnsi" w:hAnsiTheme="majorHAnsi"/>
          <w:sz w:val="16"/>
          <w:szCs w:val="16"/>
        </w:rPr>
        <w:t xml:space="preserve"> Food Res,</w:t>
      </w:r>
      <w:r w:rsidRPr="00A57937">
        <w:rPr>
          <w:rFonts w:asciiTheme="majorHAnsi" w:hAnsiTheme="majorHAnsi" w:hint="eastAsia"/>
          <w:sz w:val="16"/>
          <w:szCs w:val="16"/>
        </w:rPr>
        <w:t xml:space="preserve"> </w:t>
      </w:r>
      <w:r w:rsidRPr="00A57937">
        <w:rPr>
          <w:rFonts w:asciiTheme="majorHAnsi" w:hAnsiTheme="majorHAnsi"/>
          <w:sz w:val="16"/>
          <w:szCs w:val="16"/>
        </w:rPr>
        <w:t>doi:10.1002/mnfr.201700785</w:t>
      </w:r>
      <w:r>
        <w:rPr>
          <w:rFonts w:asciiTheme="majorHAnsi" w:hAnsiTheme="majorHAnsi"/>
          <w:sz w:val="16"/>
          <w:szCs w:val="16"/>
        </w:rPr>
        <w:t>.</w:t>
      </w:r>
    </w:p>
    <w:p w:rsidR="00AE3E37" w:rsidRDefault="00AE3E37">
      <w:pPr>
        <w:pStyle w:val="a3"/>
        <w:rPr>
          <w:rFonts w:ascii="Calibri"/>
          <w:sz w:val="20"/>
        </w:rPr>
      </w:pPr>
    </w:p>
    <w:p w:rsidR="00AE3E37" w:rsidRDefault="00AE3E37">
      <w:pPr>
        <w:pStyle w:val="a3"/>
        <w:rPr>
          <w:rFonts w:ascii="Calibri"/>
          <w:sz w:val="20"/>
        </w:rPr>
      </w:pPr>
    </w:p>
    <w:p w:rsidR="00AE3E37" w:rsidRDefault="00AE3E37">
      <w:pPr>
        <w:pStyle w:val="a3"/>
        <w:spacing w:line="40" w:lineRule="exact"/>
        <w:ind w:left="2202"/>
        <w:rPr>
          <w:rFonts w:ascii="Calibri"/>
          <w:sz w:val="4"/>
        </w:rPr>
      </w:pPr>
    </w:p>
    <w:p w:rsidR="00887907" w:rsidRDefault="00A57937" w:rsidP="00404E5B">
      <w:pPr>
        <w:spacing w:before="92"/>
        <w:ind w:right="4234"/>
        <w:rPr>
          <w:rFonts w:ascii="Arial"/>
          <w:color w:val="BF5A14"/>
        </w:rP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57785</wp:posOffset>
            </wp:positionV>
            <wp:extent cx="568030" cy="826043"/>
            <wp:effectExtent l="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8030" cy="826043"/>
                    </a:xfrm>
                    <a:prstGeom prst="rect">
                      <a:avLst/>
                    </a:prstGeom>
                  </pic:spPr>
                </pic:pic>
              </a:graphicData>
            </a:graphic>
          </wp:anchor>
        </w:drawing>
      </w:r>
      <w:r w:rsidR="00404E5B">
        <w:rPr>
          <w:rFonts w:ascii="Arial"/>
          <w:color w:val="BF5A14"/>
        </w:rPr>
        <w:t xml:space="preserve">                                          </w:t>
      </w:r>
    </w:p>
    <w:p w:rsidR="00887907" w:rsidRDefault="00887907" w:rsidP="00404E5B">
      <w:pPr>
        <w:spacing w:before="92"/>
        <w:ind w:right="4234"/>
        <w:rPr>
          <w:rFonts w:ascii="Arial"/>
          <w:color w:val="BF5A14"/>
        </w:rPr>
      </w:pPr>
    </w:p>
    <w:p w:rsidR="00887907" w:rsidRDefault="00887907" w:rsidP="00404E5B">
      <w:pPr>
        <w:spacing w:before="92"/>
        <w:ind w:right="4234"/>
        <w:rPr>
          <w:rFonts w:ascii="Arial"/>
          <w:color w:val="BF5A14"/>
        </w:rPr>
      </w:pPr>
    </w:p>
    <w:p w:rsidR="00887907" w:rsidRDefault="00887907" w:rsidP="00404E5B">
      <w:pPr>
        <w:spacing w:before="92"/>
        <w:ind w:right="4234"/>
        <w:rPr>
          <w:rFonts w:ascii="Arial"/>
          <w:color w:val="BF5A14"/>
        </w:rPr>
      </w:pPr>
    </w:p>
    <w:p w:rsidR="00887907" w:rsidRDefault="00887907"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3D4504" w:rsidP="00887907">
      <w:pPr>
        <w:spacing w:before="41" w:line="154" w:lineRule="exact"/>
        <w:ind w:right="231"/>
        <w:jc w:val="both"/>
        <w:rPr>
          <w:rFonts w:ascii="Arial"/>
          <w:sz w:val="14"/>
        </w:rPr>
      </w:pPr>
      <w:r>
        <w:rPr>
          <w:rFonts w:ascii="Arial"/>
          <w:sz w:val="14"/>
        </w:rPr>
        <w:t xml:space="preserve">Kaifeng Li is now a post-doc fellow based on the </w:t>
      </w:r>
      <w:r w:rsidRPr="003D4504">
        <w:rPr>
          <w:rFonts w:ascii="Arial"/>
          <w:sz w:val="14"/>
        </w:rPr>
        <w:t>Beijing Advanced Innovation Center for Food Nutrition and Human Health, China Agricultural University</w:t>
      </w:r>
      <w:r>
        <w:rPr>
          <w:rFonts w:ascii="Arial"/>
          <w:sz w:val="14"/>
        </w:rPr>
        <w:t xml:space="preserve"> in China. He has got his PhD</w:t>
      </w:r>
      <w:r>
        <w:rPr>
          <w:rFonts w:ascii="Arial"/>
          <w:sz w:val="14"/>
        </w:rPr>
        <w:t>’</w:t>
      </w:r>
      <w:r>
        <w:rPr>
          <w:rFonts w:ascii="Arial"/>
          <w:sz w:val="14"/>
        </w:rPr>
        <w:t xml:space="preserve">s degree from Institute of Food and Health, University College Dublin in Ireland. His research focuses on the relationship between dietary intakes, risk of metabolic syndrome and obesity. </w:t>
      </w:r>
    </w:p>
    <w:p w:rsidR="00887907" w:rsidRDefault="00887907" w:rsidP="00887907">
      <w:pPr>
        <w:rPr>
          <w:rFonts w:ascii="Arial"/>
          <w:sz w:val="14"/>
        </w:rPr>
      </w:pPr>
    </w:p>
    <w:p w:rsidR="00887907" w:rsidRPr="00B964BF" w:rsidRDefault="00887907" w:rsidP="00887907">
      <w:pPr>
        <w:rPr>
          <w:rFonts w:ascii="Arial"/>
          <w:b/>
          <w:sz w:val="14"/>
        </w:rPr>
      </w:pPr>
      <w:r w:rsidRPr="00B964BF">
        <w:rPr>
          <w:rFonts w:ascii="Arial"/>
          <w:b/>
          <w:sz w:val="14"/>
        </w:rPr>
        <w:t>Presenting author details</w:t>
      </w:r>
    </w:p>
    <w:p w:rsidR="00887907" w:rsidRPr="00B964BF" w:rsidRDefault="00887907" w:rsidP="00887907">
      <w:pPr>
        <w:rPr>
          <w:rFonts w:ascii="Arial"/>
          <w:sz w:val="14"/>
        </w:rPr>
      </w:pPr>
      <w:r w:rsidRPr="00B964BF">
        <w:rPr>
          <w:rFonts w:ascii="Arial"/>
          <w:sz w:val="14"/>
        </w:rPr>
        <w:t xml:space="preserve">Full name: </w:t>
      </w:r>
      <w:r>
        <w:rPr>
          <w:rFonts w:ascii="Arial"/>
          <w:sz w:val="14"/>
        </w:rPr>
        <w:t>Kaifeng Li</w:t>
      </w:r>
    </w:p>
    <w:p w:rsidR="00887907" w:rsidRPr="00B964BF" w:rsidRDefault="00887907" w:rsidP="00887907">
      <w:pPr>
        <w:rPr>
          <w:rFonts w:ascii="Arial"/>
          <w:sz w:val="14"/>
        </w:rPr>
      </w:pPr>
      <w:r w:rsidRPr="00B964BF">
        <w:rPr>
          <w:rFonts w:ascii="Arial"/>
          <w:sz w:val="14"/>
        </w:rPr>
        <w:t xml:space="preserve">Contact Number: </w:t>
      </w:r>
      <w:r>
        <w:rPr>
          <w:rFonts w:ascii="Arial"/>
          <w:sz w:val="14"/>
        </w:rPr>
        <w:t>008615011335637</w:t>
      </w:r>
    </w:p>
    <w:p w:rsidR="00887907" w:rsidRPr="00B964BF" w:rsidRDefault="00887907" w:rsidP="00887907">
      <w:pPr>
        <w:rPr>
          <w:rFonts w:ascii="Arial"/>
          <w:sz w:val="14"/>
        </w:rPr>
      </w:pPr>
      <w:r w:rsidRPr="00B964BF">
        <w:rPr>
          <w:rFonts w:ascii="Arial"/>
          <w:sz w:val="14"/>
        </w:rPr>
        <w:t xml:space="preserve">Email: </w:t>
      </w:r>
      <w:r>
        <w:rPr>
          <w:rFonts w:ascii="Arial"/>
          <w:sz w:val="14"/>
        </w:rPr>
        <w:t>likaifeng@cau.edu.cn</w:t>
      </w:r>
    </w:p>
    <w:p w:rsidR="00AE3E37" w:rsidRPr="00D92327" w:rsidRDefault="00AE3E37" w:rsidP="00A57937">
      <w:pPr>
        <w:pStyle w:val="a3"/>
        <w:spacing w:before="7"/>
        <w:rPr>
          <w:rFonts w:ascii="Cambria" w:hAnsi="Cambria"/>
          <w:b/>
          <w:sz w:val="24"/>
        </w:rPr>
      </w:pPr>
    </w:p>
    <w:p w:rsidR="00D92327" w:rsidRPr="00D92327" w:rsidRDefault="00D92327" w:rsidP="00D92327">
      <w:pPr>
        <w:pStyle w:val="a3"/>
        <w:spacing w:before="7"/>
        <w:rPr>
          <w:rFonts w:ascii="Cambria" w:hAnsi="Cambria"/>
          <w:sz w:val="24"/>
        </w:rPr>
      </w:pP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p>
    <w:p w:rsidR="00AE3E37" w:rsidRPr="008477F8" w:rsidRDefault="00AE3E37" w:rsidP="008477F8">
      <w:pPr>
        <w:pStyle w:val="a3"/>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6245" w:rsidRDefault="002A6245">
      <w:r>
        <w:separator/>
      </w:r>
    </w:p>
  </w:endnote>
  <w:endnote w:type="continuationSeparator" w:id="0">
    <w:p w:rsidR="002A6245" w:rsidRDefault="002A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3D4504">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KvsgIAALE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fSAKvsgIAALE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YvqsAIAALE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OCmL6rACAACx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3erwIAALE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aBWN3q8CAACx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6245" w:rsidRDefault="002A6245">
      <w:r>
        <w:separator/>
      </w:r>
    </w:p>
  </w:footnote>
  <w:footnote w:type="continuationSeparator" w:id="0">
    <w:p w:rsidR="002A6245" w:rsidRDefault="002A6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3D4504">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5ZV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i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qa5ZV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Bc97iU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539E"/>
    <w:rsid w:val="002344B5"/>
    <w:rsid w:val="002845A5"/>
    <w:rsid w:val="002A6245"/>
    <w:rsid w:val="003D4504"/>
    <w:rsid w:val="00404E5B"/>
    <w:rsid w:val="00412045"/>
    <w:rsid w:val="00414F7B"/>
    <w:rsid w:val="004355DC"/>
    <w:rsid w:val="00435635"/>
    <w:rsid w:val="004749B4"/>
    <w:rsid w:val="00486F02"/>
    <w:rsid w:val="004A3A3F"/>
    <w:rsid w:val="004C7E57"/>
    <w:rsid w:val="004F3523"/>
    <w:rsid w:val="00557169"/>
    <w:rsid w:val="005B3A56"/>
    <w:rsid w:val="006060CE"/>
    <w:rsid w:val="0063497F"/>
    <w:rsid w:val="00665B72"/>
    <w:rsid w:val="006C0C32"/>
    <w:rsid w:val="007850CD"/>
    <w:rsid w:val="008477F8"/>
    <w:rsid w:val="00873DF0"/>
    <w:rsid w:val="00887907"/>
    <w:rsid w:val="009B2D44"/>
    <w:rsid w:val="00A57937"/>
    <w:rsid w:val="00A9710C"/>
    <w:rsid w:val="00AE3E37"/>
    <w:rsid w:val="00B21A57"/>
    <w:rsid w:val="00C01EC3"/>
    <w:rsid w:val="00C23E81"/>
    <w:rsid w:val="00C33602"/>
    <w:rsid w:val="00C75DA0"/>
    <w:rsid w:val="00CD6F55"/>
    <w:rsid w:val="00D92327"/>
    <w:rsid w:val="00F72EEA"/>
    <w:rsid w:val="00F84CAE"/>
    <w:rsid w:val="00F937B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2BA14"/>
  <w15:docId w15:val="{68E606A4-2FEC-4205-BA88-7D2C96FE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页眉 字符"/>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页脚 字符"/>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批注框文本 字符"/>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8477F8"/>
    <w:rPr>
      <w:color w:val="0000FF" w:themeColor="hyperlink"/>
      <w:u w:val="single"/>
    </w:rPr>
  </w:style>
  <w:style w:type="character" w:styleId="ac">
    <w:name w:val="FollowedHyperlink"/>
    <w:basedOn w:val="a0"/>
    <w:uiPriority w:val="99"/>
    <w:semiHidden/>
    <w:unhideWhenUsed/>
    <w:rsid w:val="002845A5"/>
    <w:rPr>
      <w:color w:val="800080" w:themeColor="followedHyperlink"/>
      <w:u w:val="single"/>
    </w:rPr>
  </w:style>
  <w:style w:type="character" w:styleId="ad">
    <w:name w:val="Unresolved Mention"/>
    <w:basedOn w:val="a0"/>
    <w:uiPriority w:val="99"/>
    <w:semiHidden/>
    <w:unhideWhenUsed/>
    <w:rsid w:val="00A5793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 Kaifeng</cp:lastModifiedBy>
  <cp:revision>2</cp:revision>
  <dcterms:created xsi:type="dcterms:W3CDTF">2018-06-07T02:20:00Z</dcterms:created>
  <dcterms:modified xsi:type="dcterms:W3CDTF">2018-06-07T02:20:00Z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