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920C8" w14:textId="5B1F0D02" w:rsidR="00991D5C" w:rsidRPr="00CD24D3" w:rsidRDefault="00991D5C" w:rsidP="00991D5C">
      <w:pPr>
        <w:rPr>
          <w:rFonts w:asciiTheme="majorBidi" w:eastAsiaTheme="minorHAnsi" w:hAnsiTheme="majorBidi" w:cstheme="majorBidi"/>
          <w:b/>
          <w:bCs/>
          <w:noProof/>
          <w:lang w:val="en-IN"/>
        </w:rPr>
      </w:pPr>
      <w:bookmarkStart w:id="0" w:name="_Hlk7609153"/>
      <w:r w:rsidRPr="00CD24D3">
        <w:rPr>
          <w:rFonts w:asciiTheme="majorBidi" w:eastAsiaTheme="minorHAnsi" w:hAnsiTheme="majorBidi" w:cstheme="majorBidi"/>
          <w:b/>
          <w:bCs/>
          <w:noProof/>
          <w:lang w:val="en-IN"/>
        </w:rPr>
        <w:t>Incorporating oral health in</w:t>
      </w:r>
      <w:r w:rsidR="000A2D3A">
        <w:rPr>
          <w:rFonts w:asciiTheme="majorBidi" w:eastAsiaTheme="minorHAnsi" w:hAnsiTheme="majorBidi" w:cstheme="majorBidi"/>
          <w:b/>
          <w:bCs/>
          <w:noProof/>
          <w:lang w:val="en-IN"/>
        </w:rPr>
        <w:t>to</w:t>
      </w:r>
      <w:r w:rsidRPr="00CD24D3">
        <w:rPr>
          <w:rFonts w:asciiTheme="majorBidi" w:eastAsiaTheme="minorHAnsi" w:hAnsiTheme="majorBidi" w:cstheme="majorBidi"/>
          <w:b/>
          <w:bCs/>
          <w:noProof/>
          <w:lang w:val="en-IN"/>
        </w:rPr>
        <w:t xml:space="preserve"> nursing curriculums - A systematic review</w:t>
      </w:r>
    </w:p>
    <w:p w14:paraId="590B7A83" w14:textId="7A678E0A" w:rsidR="00991D5C" w:rsidRPr="00CD24D3" w:rsidRDefault="00991D5C" w:rsidP="00991D5C">
      <w:pPr>
        <w:spacing w:line="0" w:lineRule="atLeast"/>
        <w:rPr>
          <w:rFonts w:asciiTheme="majorBidi" w:eastAsiaTheme="minorHAnsi" w:hAnsiTheme="majorBidi" w:cstheme="majorBidi"/>
          <w:b/>
          <w:bCs/>
          <w:noProof/>
          <w:color w:val="365F91" w:themeColor="accent1" w:themeShade="BF"/>
          <w:lang w:val="en-IN"/>
        </w:rPr>
      </w:pPr>
      <w:r w:rsidRPr="00501F40">
        <w:rPr>
          <w:rFonts w:asciiTheme="majorBidi" w:eastAsiaTheme="minorHAnsi" w:hAnsiTheme="majorBidi" w:cstheme="majorBidi"/>
          <w:noProof/>
          <w:lang w:val="en-IN"/>
        </w:rPr>
        <w:t xml:space="preserve">Vandana Bhagat, PhD candidate, </w:t>
      </w:r>
      <w:r w:rsidR="00C61FD5">
        <w:rPr>
          <w:rFonts w:asciiTheme="majorBidi" w:eastAsiaTheme="minorHAnsi" w:hAnsiTheme="majorBidi" w:cstheme="majorBidi"/>
          <w:noProof/>
          <w:lang w:val="en-IN"/>
        </w:rPr>
        <w:t xml:space="preserve">Centre for Rural Health (CRH), </w:t>
      </w:r>
      <w:r w:rsidRPr="00501F40">
        <w:rPr>
          <w:rFonts w:asciiTheme="majorBidi" w:eastAsiaTheme="minorHAnsi" w:hAnsiTheme="majorBidi" w:cstheme="majorBidi"/>
          <w:noProof/>
          <w:lang w:val="en-IN"/>
        </w:rPr>
        <w:t>University of Tasmania (UTas), Australia</w:t>
      </w:r>
    </w:p>
    <w:p w14:paraId="2867D5F9" w14:textId="62E3D9D6" w:rsidR="00991D5C" w:rsidRPr="00501F40" w:rsidRDefault="00991D5C" w:rsidP="00991D5C">
      <w:pPr>
        <w:spacing w:line="0" w:lineRule="atLeast"/>
        <w:rPr>
          <w:rFonts w:asciiTheme="majorBidi" w:eastAsiaTheme="minorHAnsi" w:hAnsiTheme="majorBidi" w:cstheme="majorBidi"/>
          <w:b/>
          <w:bCs/>
          <w:noProof/>
          <w:color w:val="365F91" w:themeColor="accent1" w:themeShade="BF"/>
          <w:lang w:val="en-IN"/>
        </w:rPr>
      </w:pPr>
      <w:r w:rsidRPr="00501F40">
        <w:rPr>
          <w:rFonts w:asciiTheme="majorBidi" w:eastAsiaTheme="minorHAnsi" w:hAnsiTheme="majorBidi" w:cstheme="majorBidi"/>
          <w:noProof/>
          <w:lang w:val="en-IN"/>
        </w:rPr>
        <w:t xml:space="preserve">Ha Hoang, Postdoctoral </w:t>
      </w:r>
      <w:r w:rsidR="004830E9">
        <w:rPr>
          <w:rFonts w:asciiTheme="majorBidi" w:eastAsiaTheme="minorHAnsi" w:hAnsiTheme="majorBidi" w:cstheme="majorBidi"/>
          <w:noProof/>
          <w:lang w:val="en-IN"/>
        </w:rPr>
        <w:t xml:space="preserve">Research </w:t>
      </w:r>
      <w:r w:rsidRPr="00501F40">
        <w:rPr>
          <w:rFonts w:asciiTheme="majorBidi" w:eastAsiaTheme="minorHAnsi" w:hAnsiTheme="majorBidi" w:cstheme="majorBidi"/>
          <w:noProof/>
          <w:lang w:val="en-IN"/>
        </w:rPr>
        <w:t xml:space="preserve">Fellow in Oral Health, </w:t>
      </w:r>
      <w:r w:rsidR="00C61FD5">
        <w:rPr>
          <w:rFonts w:asciiTheme="majorBidi" w:eastAsiaTheme="minorHAnsi" w:hAnsiTheme="majorBidi" w:cstheme="majorBidi"/>
          <w:noProof/>
          <w:lang w:val="en-IN"/>
        </w:rPr>
        <w:t xml:space="preserve">CRH, </w:t>
      </w:r>
      <w:r w:rsidRPr="00501F40">
        <w:rPr>
          <w:rFonts w:asciiTheme="majorBidi" w:eastAsiaTheme="minorHAnsi" w:hAnsiTheme="majorBidi" w:cstheme="majorBidi"/>
          <w:noProof/>
          <w:lang w:val="en-IN"/>
        </w:rPr>
        <w:t>UTas</w:t>
      </w:r>
    </w:p>
    <w:p w14:paraId="328877E4" w14:textId="606CA601" w:rsidR="00991D5C" w:rsidRPr="00501F40" w:rsidRDefault="00991D5C" w:rsidP="00991D5C">
      <w:pPr>
        <w:spacing w:line="0" w:lineRule="atLeast"/>
        <w:jc w:val="both"/>
        <w:rPr>
          <w:rFonts w:asciiTheme="majorBidi" w:eastAsiaTheme="minorHAnsi" w:hAnsiTheme="majorBidi" w:cstheme="majorBidi"/>
          <w:noProof/>
          <w:lang w:val="en-IN"/>
        </w:rPr>
      </w:pPr>
      <w:r w:rsidRPr="00501F40">
        <w:rPr>
          <w:rFonts w:asciiTheme="majorBidi" w:eastAsiaTheme="minorHAnsi" w:hAnsiTheme="majorBidi" w:cstheme="majorBidi"/>
          <w:noProof/>
          <w:lang w:val="en-IN"/>
        </w:rPr>
        <w:t xml:space="preserve">Len Crocombe, Associate Professor of Oral Health, </w:t>
      </w:r>
      <w:r w:rsidR="00C61FD5">
        <w:rPr>
          <w:rFonts w:asciiTheme="majorBidi" w:eastAsiaTheme="minorHAnsi" w:hAnsiTheme="majorBidi" w:cstheme="majorBidi"/>
          <w:noProof/>
          <w:lang w:val="en-IN"/>
        </w:rPr>
        <w:t xml:space="preserve">CRH, </w:t>
      </w:r>
      <w:r w:rsidRPr="00501F40">
        <w:rPr>
          <w:rFonts w:asciiTheme="majorBidi" w:eastAsiaTheme="minorHAnsi" w:hAnsiTheme="majorBidi" w:cstheme="majorBidi"/>
          <w:noProof/>
          <w:lang w:val="en-IN"/>
        </w:rPr>
        <w:t>UTas</w:t>
      </w:r>
    </w:p>
    <w:p w14:paraId="386C35C7" w14:textId="77777777" w:rsidR="00AE3E37" w:rsidRPr="00CD24D3" w:rsidRDefault="00991D5C" w:rsidP="00991D5C">
      <w:pPr>
        <w:spacing w:line="0" w:lineRule="atLeast"/>
        <w:jc w:val="both"/>
        <w:rPr>
          <w:rFonts w:asciiTheme="majorBidi" w:eastAsiaTheme="minorHAnsi" w:hAnsiTheme="majorBidi" w:cstheme="majorBidi"/>
          <w:noProof/>
          <w:lang w:val="en-IN"/>
        </w:rPr>
      </w:pPr>
      <w:r w:rsidRPr="00501F40">
        <w:rPr>
          <w:rFonts w:asciiTheme="majorBidi" w:eastAsiaTheme="minorHAnsi" w:hAnsiTheme="majorBidi" w:cstheme="majorBidi"/>
          <w:noProof/>
          <w:lang w:val="en-IN"/>
        </w:rPr>
        <w:t>Lyn Goldberg, Associate Professor, Wicking Dementia Research and Education Centre, UTas</w:t>
      </w:r>
    </w:p>
    <w:p w14:paraId="2A57E5DE" w14:textId="77777777" w:rsidR="00AE3E37" w:rsidRPr="00CD24D3" w:rsidRDefault="00AE3E37">
      <w:pPr>
        <w:pStyle w:val="BodyText"/>
        <w:spacing w:before="3"/>
        <w:rPr>
          <w:rFonts w:asciiTheme="majorBidi" w:hAnsiTheme="majorBidi" w:cstheme="majorBidi"/>
          <w:sz w:val="22"/>
          <w:szCs w:val="22"/>
        </w:rPr>
      </w:pPr>
    </w:p>
    <w:p w14:paraId="091A2F92" w14:textId="77777777" w:rsidR="00AE3E37" w:rsidRPr="00CD24D3" w:rsidRDefault="00AE3E37">
      <w:pPr>
        <w:rPr>
          <w:rFonts w:asciiTheme="majorBidi" w:hAnsiTheme="majorBidi" w:cstheme="majorBidi"/>
        </w:rPr>
        <w:sectPr w:rsidR="00AE3E37" w:rsidRPr="00CD24D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C9FB72D" w14:textId="77777777" w:rsidR="00AE3E37" w:rsidRPr="00CD24D3" w:rsidRDefault="00A9710C" w:rsidP="00FD04B9">
      <w:pPr>
        <w:pStyle w:val="Heading3"/>
        <w:spacing w:before="147"/>
        <w:ind w:left="0"/>
        <w:jc w:val="both"/>
        <w:rPr>
          <w:rFonts w:asciiTheme="majorBidi" w:hAnsiTheme="majorBidi" w:cstheme="majorBidi"/>
          <w:sz w:val="22"/>
          <w:szCs w:val="22"/>
        </w:rPr>
      </w:pPr>
      <w:r w:rsidRPr="00CD24D3">
        <w:rPr>
          <w:rFonts w:asciiTheme="majorBidi" w:hAnsiTheme="majorBidi" w:cstheme="majorBidi"/>
          <w:sz w:val="22"/>
          <w:szCs w:val="22"/>
        </w:rPr>
        <w:t>Abstract</w:t>
      </w:r>
      <w:r w:rsidR="00404E5B" w:rsidRPr="00CD24D3">
        <w:rPr>
          <w:rFonts w:asciiTheme="majorBidi" w:hAnsiTheme="majorBidi" w:cstheme="majorBidi"/>
          <w:sz w:val="22"/>
          <w:szCs w:val="22"/>
        </w:rPr>
        <w:t xml:space="preserve"> </w:t>
      </w:r>
    </w:p>
    <w:p w14:paraId="2C9DEE4D" w14:textId="77777777" w:rsidR="007A7E52" w:rsidRDefault="00991D5C" w:rsidP="00B24B4F">
      <w:pPr>
        <w:widowControl/>
        <w:autoSpaceDE w:val="0"/>
        <w:autoSpaceDN w:val="0"/>
        <w:adjustRightInd w:val="0"/>
        <w:rPr>
          <w:rFonts w:asciiTheme="majorBidi" w:eastAsia="+mj-ea" w:hAnsiTheme="majorBidi" w:cstheme="majorBidi"/>
          <w:color w:val="000000"/>
          <w:kern w:val="24"/>
        </w:rPr>
      </w:pPr>
      <w:r w:rsidRPr="007A7E52">
        <w:rPr>
          <w:rFonts w:asciiTheme="majorBidi" w:hAnsiTheme="majorBidi" w:cstheme="majorBidi"/>
          <w:b/>
          <w:bCs/>
          <w:noProof/>
        </w:rPr>
        <w:t>Statement of problem:</w:t>
      </w:r>
      <w:r w:rsidRPr="00CD24D3">
        <w:rPr>
          <w:rFonts w:asciiTheme="majorBidi" w:hAnsiTheme="majorBidi" w:cstheme="majorBidi"/>
          <w:noProof/>
        </w:rPr>
        <w:t xml:space="preserve"> 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The oral health of older people in residential aged care has been widely identified as poor. </w:t>
      </w:r>
      <w:r w:rsidR="003A16E5" w:rsidRPr="00CD24D3">
        <w:rPr>
          <w:rFonts w:asciiTheme="majorBidi" w:eastAsia="+mj-ea" w:hAnsiTheme="majorBidi" w:cstheme="majorBidi"/>
          <w:color w:val="000000"/>
          <w:kern w:val="24"/>
        </w:rPr>
        <w:t xml:space="preserve"> 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The growing number of age care residents, especially </w:t>
      </w:r>
      <w:r w:rsidR="007717D2" w:rsidRPr="00CD24D3">
        <w:rPr>
          <w:rFonts w:asciiTheme="majorBidi" w:eastAsia="+mj-ea" w:hAnsiTheme="majorBidi" w:cstheme="majorBidi"/>
          <w:color w:val="000000"/>
          <w:kern w:val="24"/>
        </w:rPr>
        <w:t>those who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 have retained their teeth, has raised concerns for policy makers when addressing service gaps in the provision of effective and timely oral </w:t>
      </w:r>
      <w:r w:rsidR="007717D2" w:rsidRPr="00CD24D3">
        <w:rPr>
          <w:rFonts w:asciiTheme="majorBidi" w:eastAsia="+mj-ea" w:hAnsiTheme="majorBidi" w:cstheme="majorBidi"/>
          <w:color w:val="000000"/>
          <w:kern w:val="24"/>
        </w:rPr>
        <w:t>care.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  </w:t>
      </w:r>
      <w:r w:rsidR="007717D2" w:rsidRPr="00CD24D3">
        <w:rPr>
          <w:rFonts w:asciiTheme="majorBidi" w:eastAsia="+mj-ea" w:hAnsiTheme="majorBidi" w:cstheme="majorBidi"/>
          <w:color w:val="000000"/>
          <w:kern w:val="24"/>
        </w:rPr>
        <w:t>Nurses play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 an important role in providing oral health </w:t>
      </w:r>
      <w:r w:rsidR="007717D2" w:rsidRPr="00CD24D3">
        <w:rPr>
          <w:rFonts w:asciiTheme="majorBidi" w:eastAsia="+mj-ea" w:hAnsiTheme="majorBidi" w:cstheme="majorBidi"/>
          <w:color w:val="000000"/>
          <w:kern w:val="24"/>
        </w:rPr>
        <w:t>care to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 older people, but currently, it </w:t>
      </w:r>
      <w:r w:rsidR="001726CD">
        <w:rPr>
          <w:rFonts w:asciiTheme="majorBidi" w:eastAsia="+mj-ea" w:hAnsiTheme="majorBidi" w:cstheme="majorBidi"/>
          <w:color w:val="000000"/>
          <w:kern w:val="24"/>
        </w:rPr>
        <w:t>i</w:t>
      </w:r>
      <w:r w:rsidR="001726CD" w:rsidRPr="00CD24D3">
        <w:rPr>
          <w:rFonts w:asciiTheme="majorBidi" w:eastAsia="+mj-ea" w:hAnsiTheme="majorBidi" w:cstheme="majorBidi"/>
          <w:color w:val="000000"/>
          <w:kern w:val="24"/>
        </w:rPr>
        <w:t xml:space="preserve">s 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a low priority. </w:t>
      </w:r>
      <w:r w:rsidR="00850717">
        <w:rPr>
          <w:rFonts w:asciiTheme="majorBidi" w:eastAsia="+mj-ea" w:hAnsiTheme="majorBidi" w:cstheme="majorBidi"/>
          <w:color w:val="000000"/>
          <w:kern w:val="24"/>
        </w:rPr>
        <w:t>T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his study </w:t>
      </w:r>
      <w:r w:rsidR="00FF4A2C" w:rsidRPr="00CD24D3">
        <w:rPr>
          <w:rFonts w:asciiTheme="majorBidi" w:eastAsia="+mj-ea" w:hAnsiTheme="majorBidi" w:cstheme="majorBidi"/>
          <w:color w:val="000000"/>
          <w:kern w:val="24"/>
        </w:rPr>
        <w:t>synthesi</w:t>
      </w:r>
      <w:r w:rsidR="00FF4A2C">
        <w:rPr>
          <w:rFonts w:asciiTheme="majorBidi" w:eastAsia="+mj-ea" w:hAnsiTheme="majorBidi" w:cstheme="majorBidi"/>
          <w:color w:val="000000"/>
          <w:kern w:val="24"/>
        </w:rPr>
        <w:t>z</w:t>
      </w:r>
      <w:r w:rsidR="00FF4A2C" w:rsidRPr="00CD24D3">
        <w:rPr>
          <w:rFonts w:asciiTheme="majorBidi" w:eastAsia="+mj-ea" w:hAnsiTheme="majorBidi" w:cstheme="majorBidi"/>
          <w:color w:val="000000"/>
          <w:kern w:val="24"/>
        </w:rPr>
        <w:t>e</w:t>
      </w:r>
      <w:r w:rsidR="00FF4A2C">
        <w:rPr>
          <w:rFonts w:asciiTheme="majorBidi" w:eastAsia="+mj-ea" w:hAnsiTheme="majorBidi" w:cstheme="majorBidi"/>
          <w:color w:val="000000"/>
          <w:kern w:val="24"/>
        </w:rPr>
        <w:t>d</w:t>
      </w:r>
      <w:r w:rsidR="00FF4A2C" w:rsidRPr="00CD24D3">
        <w:rPr>
          <w:rFonts w:asciiTheme="majorBidi" w:eastAsia="+mj-ea" w:hAnsiTheme="majorBidi" w:cstheme="majorBidi"/>
          <w:color w:val="000000"/>
          <w:kern w:val="24"/>
        </w:rPr>
        <w:t xml:space="preserve"> 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the evidence on incorporating oral health education into the nursing curriculum and evidence on the current attitude and knowledge </w:t>
      </w:r>
      <w:r w:rsidR="007717D2" w:rsidRPr="00CD24D3">
        <w:rPr>
          <w:rFonts w:asciiTheme="majorBidi" w:eastAsia="+mj-ea" w:hAnsiTheme="majorBidi" w:cstheme="majorBidi"/>
          <w:color w:val="000000"/>
          <w:kern w:val="24"/>
        </w:rPr>
        <w:t>of nursi</w:t>
      </w:r>
      <w:r w:rsidR="00FD04B9" w:rsidRPr="00CD24D3">
        <w:rPr>
          <w:rFonts w:asciiTheme="majorBidi" w:eastAsia="+mj-ea" w:hAnsiTheme="majorBidi" w:cstheme="majorBidi"/>
          <w:color w:val="000000"/>
          <w:kern w:val="24"/>
        </w:rPr>
        <w:t>ng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 students towards oral health. </w:t>
      </w:r>
    </w:p>
    <w:p w14:paraId="412B57DE" w14:textId="77777777" w:rsidR="007A7E52" w:rsidRDefault="00991D5C" w:rsidP="00B24B4F">
      <w:pPr>
        <w:widowControl/>
        <w:autoSpaceDE w:val="0"/>
        <w:autoSpaceDN w:val="0"/>
        <w:adjustRightInd w:val="0"/>
        <w:rPr>
          <w:rFonts w:asciiTheme="majorBidi" w:hAnsiTheme="majorBidi" w:cstheme="majorBidi"/>
          <w:noProof/>
        </w:rPr>
      </w:pPr>
      <w:r w:rsidRPr="007A7E52">
        <w:rPr>
          <w:rFonts w:asciiTheme="majorBidi" w:eastAsia="+mj-ea" w:hAnsiTheme="majorBidi" w:cstheme="majorBidi"/>
          <w:b/>
          <w:bCs/>
          <w:color w:val="000000"/>
          <w:kern w:val="24"/>
        </w:rPr>
        <w:t>Methodology &amp; Theoretical Orientation</w:t>
      </w:r>
      <w:r w:rsidRPr="00CD24D3">
        <w:rPr>
          <w:rFonts w:asciiTheme="majorBidi" w:eastAsia="+mj-ea" w:hAnsiTheme="majorBidi" w:cstheme="majorBidi"/>
          <w:color w:val="000000"/>
          <w:kern w:val="24"/>
        </w:rPr>
        <w:t xml:space="preserve">: </w:t>
      </w:r>
      <w:r w:rsidR="008C7A30">
        <w:rPr>
          <w:rFonts w:asciiTheme="majorBidi" w:hAnsiTheme="majorBidi" w:cstheme="majorBidi"/>
          <w:noProof/>
        </w:rPr>
        <w:t>Three d</w:t>
      </w:r>
      <w:r w:rsidRPr="00CD24D3">
        <w:rPr>
          <w:rFonts w:asciiTheme="majorBidi" w:hAnsiTheme="majorBidi" w:cstheme="majorBidi"/>
          <w:noProof/>
        </w:rPr>
        <w:t>atabases PubMed, CINHAL &amp; Scopus were searched using  keywords</w:t>
      </w:r>
      <w:r w:rsidR="00335EF9">
        <w:rPr>
          <w:rFonts w:asciiTheme="majorBidi" w:hAnsiTheme="majorBidi" w:cstheme="majorBidi"/>
          <w:noProof/>
        </w:rPr>
        <w:t xml:space="preserve">: </w:t>
      </w:r>
      <w:r w:rsidRPr="00CD24D3">
        <w:rPr>
          <w:rFonts w:asciiTheme="majorBidi" w:hAnsiTheme="majorBidi" w:cstheme="majorBidi"/>
          <w:noProof/>
        </w:rPr>
        <w:t>oral care, oral health, oral hygiene, nursing students, nurse educators, curriculum, knowledge</w:t>
      </w:r>
      <w:r w:rsidR="00C50392">
        <w:rPr>
          <w:rFonts w:asciiTheme="majorBidi" w:hAnsiTheme="majorBidi" w:cstheme="majorBidi"/>
          <w:noProof/>
        </w:rPr>
        <w:t xml:space="preserve"> and</w:t>
      </w:r>
      <w:r w:rsidRPr="00CD24D3">
        <w:rPr>
          <w:rFonts w:asciiTheme="majorBidi" w:hAnsiTheme="majorBidi" w:cstheme="majorBidi"/>
          <w:noProof/>
        </w:rPr>
        <w:t xml:space="preserve"> attitudes.</w:t>
      </w:r>
      <w:r w:rsidR="00274331">
        <w:rPr>
          <w:rFonts w:asciiTheme="majorBidi" w:hAnsiTheme="majorBidi" w:cstheme="majorBidi"/>
          <w:noProof/>
        </w:rPr>
        <w:t xml:space="preserve"> </w:t>
      </w:r>
      <w:r w:rsidR="00335EF9">
        <w:rPr>
          <w:rFonts w:asciiTheme="majorBidi" w:hAnsiTheme="majorBidi" w:cstheme="majorBidi"/>
          <w:noProof/>
        </w:rPr>
        <w:t>Inclusion c</w:t>
      </w:r>
      <w:r w:rsidR="00FF1FEF">
        <w:rPr>
          <w:rFonts w:asciiTheme="majorBidi" w:hAnsiTheme="majorBidi" w:cstheme="majorBidi"/>
          <w:noProof/>
        </w:rPr>
        <w:t xml:space="preserve">riteria were </w:t>
      </w:r>
      <w:r w:rsidRPr="00CD24D3">
        <w:rPr>
          <w:rFonts w:asciiTheme="majorBidi" w:hAnsiTheme="majorBidi" w:cstheme="majorBidi"/>
          <w:noProof/>
        </w:rPr>
        <w:t xml:space="preserve">(1) published between 2008-2018, (2) </w:t>
      </w:r>
      <w:r w:rsidR="00A52704">
        <w:rPr>
          <w:rFonts w:asciiTheme="majorBidi" w:hAnsiTheme="majorBidi" w:cstheme="majorBidi"/>
          <w:noProof/>
        </w:rPr>
        <w:t>studies</w:t>
      </w:r>
      <w:r w:rsidR="00233D16">
        <w:rPr>
          <w:rFonts w:asciiTheme="majorBidi" w:hAnsiTheme="majorBidi" w:cstheme="majorBidi"/>
          <w:noProof/>
        </w:rPr>
        <w:t xml:space="preserve"> </w:t>
      </w:r>
      <w:r w:rsidRPr="00CD24D3">
        <w:rPr>
          <w:rFonts w:asciiTheme="majorBidi" w:hAnsiTheme="majorBidi" w:cstheme="majorBidi"/>
          <w:noProof/>
        </w:rPr>
        <w:t xml:space="preserve">written in English, (3) </w:t>
      </w:r>
      <w:r w:rsidR="00683913">
        <w:rPr>
          <w:rFonts w:asciiTheme="majorBidi" w:hAnsiTheme="majorBidi" w:cstheme="majorBidi"/>
          <w:noProof/>
        </w:rPr>
        <w:t xml:space="preserve">participants </w:t>
      </w:r>
      <w:r w:rsidR="003635B2">
        <w:rPr>
          <w:rFonts w:asciiTheme="majorBidi" w:hAnsiTheme="majorBidi" w:cstheme="majorBidi"/>
          <w:noProof/>
        </w:rPr>
        <w:t>being</w:t>
      </w:r>
      <w:r w:rsidR="00683913">
        <w:rPr>
          <w:rFonts w:asciiTheme="majorBidi" w:hAnsiTheme="majorBidi" w:cstheme="majorBidi"/>
          <w:noProof/>
        </w:rPr>
        <w:t xml:space="preserve"> </w:t>
      </w:r>
      <w:r w:rsidRPr="00CD24D3">
        <w:rPr>
          <w:rFonts w:asciiTheme="majorBidi" w:hAnsiTheme="majorBidi" w:cstheme="majorBidi"/>
          <w:noProof/>
        </w:rPr>
        <w:t xml:space="preserve">nursing students or nursing educators , (4) </w:t>
      </w:r>
      <w:r w:rsidR="00EC3D67">
        <w:rPr>
          <w:rFonts w:asciiTheme="majorBidi" w:hAnsiTheme="majorBidi" w:cstheme="majorBidi"/>
          <w:noProof/>
        </w:rPr>
        <w:t xml:space="preserve">based </w:t>
      </w:r>
      <w:r w:rsidR="00C50392">
        <w:rPr>
          <w:rFonts w:asciiTheme="majorBidi" w:hAnsiTheme="majorBidi" w:cstheme="majorBidi"/>
          <w:noProof/>
        </w:rPr>
        <w:t xml:space="preserve">in </w:t>
      </w:r>
      <w:r w:rsidRPr="00CD24D3">
        <w:rPr>
          <w:rFonts w:asciiTheme="majorBidi" w:hAnsiTheme="majorBidi" w:cstheme="majorBidi"/>
          <w:noProof/>
        </w:rPr>
        <w:t xml:space="preserve"> Organisation of Economic Co-operation and Development (OECD) countr</w:t>
      </w:r>
      <w:r w:rsidR="00C50392">
        <w:rPr>
          <w:rFonts w:asciiTheme="majorBidi" w:hAnsiTheme="majorBidi" w:cstheme="majorBidi"/>
          <w:noProof/>
        </w:rPr>
        <w:t>ies</w:t>
      </w:r>
      <w:r w:rsidRPr="00CD24D3">
        <w:rPr>
          <w:rFonts w:asciiTheme="majorBidi" w:hAnsiTheme="majorBidi" w:cstheme="majorBidi"/>
          <w:noProof/>
        </w:rPr>
        <w:t xml:space="preserve">. </w:t>
      </w:r>
      <w:r w:rsidR="00315B2B" w:rsidRPr="00C50392">
        <w:rPr>
          <w:rFonts w:asciiTheme="majorBidi" w:hAnsiTheme="majorBidi" w:cstheme="majorBidi"/>
          <w:noProof/>
        </w:rPr>
        <w:t>Selected articles were assessed using the</w:t>
      </w:r>
      <w:r w:rsidR="00C50392">
        <w:rPr>
          <w:rFonts w:asciiTheme="majorBidi" w:hAnsiTheme="majorBidi" w:cstheme="majorBidi"/>
          <w:noProof/>
        </w:rPr>
        <w:t xml:space="preserve"> </w:t>
      </w:r>
      <w:r w:rsidR="00315B2B" w:rsidRPr="00C50392">
        <w:rPr>
          <w:rFonts w:asciiTheme="majorBidi" w:hAnsiTheme="majorBidi" w:cstheme="majorBidi"/>
          <w:noProof/>
        </w:rPr>
        <w:t xml:space="preserve">Mixed Methods Appraisal Tool and data extracted were thematically analysed. </w:t>
      </w:r>
      <w:r w:rsidRPr="00CD24D3">
        <w:rPr>
          <w:rFonts w:asciiTheme="majorBidi" w:hAnsiTheme="majorBidi" w:cstheme="majorBidi"/>
          <w:noProof/>
        </w:rPr>
        <w:t xml:space="preserve"> </w:t>
      </w:r>
    </w:p>
    <w:p w14:paraId="6803D1A8" w14:textId="77777777" w:rsidR="007A7E52" w:rsidRDefault="00991D5C" w:rsidP="00B24B4F">
      <w:pPr>
        <w:widowControl/>
        <w:autoSpaceDE w:val="0"/>
        <w:autoSpaceDN w:val="0"/>
        <w:adjustRightInd w:val="0"/>
        <w:rPr>
          <w:rFonts w:asciiTheme="majorBidi" w:hAnsiTheme="majorBidi" w:cstheme="majorBidi"/>
          <w:noProof/>
        </w:rPr>
      </w:pPr>
      <w:r w:rsidRPr="007A7E52">
        <w:rPr>
          <w:rFonts w:asciiTheme="majorBidi" w:hAnsiTheme="majorBidi" w:cstheme="majorBidi"/>
          <w:b/>
          <w:bCs/>
          <w:noProof/>
        </w:rPr>
        <w:t>Findings:</w:t>
      </w:r>
      <w:r w:rsidRPr="00CD24D3">
        <w:rPr>
          <w:rFonts w:asciiTheme="majorBidi" w:hAnsiTheme="majorBidi" w:cstheme="majorBidi"/>
          <w:noProof/>
        </w:rPr>
        <w:t xml:space="preserve"> Few nursing schools incorporated an oral health module in their curriculum or adopted the interprofessional education (IPE) model</w:t>
      </w:r>
      <w:r w:rsidR="00CD401D">
        <w:rPr>
          <w:rFonts w:asciiTheme="majorBidi" w:hAnsiTheme="majorBidi" w:cstheme="majorBidi"/>
          <w:noProof/>
        </w:rPr>
        <w:t>.This model</w:t>
      </w:r>
      <w:r w:rsidRPr="00CD24D3">
        <w:rPr>
          <w:rFonts w:asciiTheme="majorBidi" w:hAnsiTheme="majorBidi" w:cstheme="majorBidi"/>
          <w:noProof/>
        </w:rPr>
        <w:t xml:space="preserve"> focusses on teaching nursing students about oral-systematic health connections, with the nursing students working with, learning from, and contributing to the knowledge of dental and allied health professionals. </w:t>
      </w:r>
      <w:r w:rsidR="00FD04B9" w:rsidRPr="00CD24D3">
        <w:rPr>
          <w:rFonts w:asciiTheme="majorBidi" w:hAnsiTheme="majorBidi" w:cstheme="majorBidi"/>
          <w:noProof/>
        </w:rPr>
        <w:t xml:space="preserve">There was poor oral health knowledge and an inconsistent attitude towards oral health practice among nursing students. </w:t>
      </w:r>
    </w:p>
    <w:p w14:paraId="26430999" w14:textId="36D6C301" w:rsidR="00991D5C" w:rsidRPr="00CD24D3" w:rsidRDefault="00991D5C" w:rsidP="00B24B4F">
      <w:pPr>
        <w:widowControl/>
        <w:autoSpaceDE w:val="0"/>
        <w:autoSpaceDN w:val="0"/>
        <w:adjustRightInd w:val="0"/>
        <w:rPr>
          <w:rFonts w:asciiTheme="majorBidi" w:hAnsiTheme="majorBidi" w:cstheme="majorBidi"/>
          <w:noProof/>
        </w:rPr>
      </w:pPr>
      <w:r w:rsidRPr="007A7E52">
        <w:rPr>
          <w:rFonts w:asciiTheme="majorBidi" w:hAnsiTheme="majorBidi" w:cstheme="majorBidi"/>
          <w:b/>
          <w:bCs/>
          <w:noProof/>
        </w:rPr>
        <w:t>Significance:</w:t>
      </w:r>
      <w:r w:rsidRPr="00CD24D3">
        <w:rPr>
          <w:rFonts w:asciiTheme="majorBidi" w:hAnsiTheme="majorBidi" w:cstheme="majorBidi"/>
          <w:noProof/>
        </w:rPr>
        <w:t xml:space="preserve"> The incorporation of oral health knowledge and effective care into regular nursing education and practice</w:t>
      </w:r>
      <w:r w:rsidR="00CF0E97">
        <w:rPr>
          <w:rFonts w:asciiTheme="majorBidi" w:hAnsiTheme="majorBidi" w:cstheme="majorBidi"/>
          <w:noProof/>
        </w:rPr>
        <w:t>,</w:t>
      </w:r>
      <w:r w:rsidRPr="00CD24D3">
        <w:rPr>
          <w:rFonts w:asciiTheme="majorBidi" w:hAnsiTheme="majorBidi" w:cstheme="majorBidi"/>
          <w:noProof/>
        </w:rPr>
        <w:t xml:space="preserve"> </w:t>
      </w:r>
      <w:r w:rsidR="00497108">
        <w:rPr>
          <w:rFonts w:asciiTheme="majorBidi" w:hAnsiTheme="majorBidi" w:cstheme="majorBidi"/>
          <w:noProof/>
        </w:rPr>
        <w:t xml:space="preserve">and </w:t>
      </w:r>
      <w:r w:rsidR="006D2B0F">
        <w:rPr>
          <w:rFonts w:asciiTheme="majorBidi" w:hAnsiTheme="majorBidi" w:cstheme="majorBidi"/>
          <w:noProof/>
        </w:rPr>
        <w:t xml:space="preserve">adoption of </w:t>
      </w:r>
      <w:r w:rsidR="00497108" w:rsidRPr="00CD24D3">
        <w:rPr>
          <w:rFonts w:asciiTheme="majorBidi" w:hAnsiTheme="majorBidi" w:cstheme="majorBidi"/>
          <w:noProof/>
        </w:rPr>
        <w:t xml:space="preserve">IPE model </w:t>
      </w:r>
      <w:r w:rsidR="006D2B0F">
        <w:rPr>
          <w:rFonts w:asciiTheme="majorBidi" w:hAnsiTheme="majorBidi" w:cstheme="majorBidi"/>
          <w:noProof/>
        </w:rPr>
        <w:t xml:space="preserve">may </w:t>
      </w:r>
      <w:r w:rsidR="0094303F">
        <w:rPr>
          <w:rFonts w:asciiTheme="majorBidi" w:hAnsiTheme="majorBidi" w:cstheme="majorBidi"/>
          <w:noProof/>
        </w:rPr>
        <w:t>contribute to</w:t>
      </w:r>
      <w:r w:rsidRPr="00CD24D3">
        <w:rPr>
          <w:rFonts w:asciiTheme="majorBidi" w:hAnsiTheme="majorBidi" w:cstheme="majorBidi"/>
          <w:noProof/>
        </w:rPr>
        <w:t xml:space="preserve"> improvement in the attitude of nursing students to</w:t>
      </w:r>
      <w:r w:rsidR="00893F0C">
        <w:rPr>
          <w:rFonts w:asciiTheme="majorBidi" w:hAnsiTheme="majorBidi" w:cstheme="majorBidi"/>
          <w:noProof/>
        </w:rPr>
        <w:t>wards</w:t>
      </w:r>
      <w:r w:rsidRPr="00CD24D3">
        <w:rPr>
          <w:rFonts w:asciiTheme="majorBidi" w:hAnsiTheme="majorBidi" w:cstheme="majorBidi"/>
          <w:noProof/>
        </w:rPr>
        <w:t xml:space="preserve"> maintain</w:t>
      </w:r>
      <w:r w:rsidR="00893F0C">
        <w:rPr>
          <w:rFonts w:asciiTheme="majorBidi" w:hAnsiTheme="majorBidi" w:cstheme="majorBidi"/>
          <w:noProof/>
        </w:rPr>
        <w:t>ing</w:t>
      </w:r>
      <w:r w:rsidRPr="00CD24D3">
        <w:rPr>
          <w:rFonts w:asciiTheme="majorBidi" w:hAnsiTheme="majorBidi" w:cstheme="majorBidi"/>
          <w:noProof/>
        </w:rPr>
        <w:t xml:space="preserve"> the oral  health of older people in residential aged care.</w:t>
      </w:r>
    </w:p>
    <w:p w14:paraId="74D3FAA9" w14:textId="77777777" w:rsidR="00AE3E37" w:rsidRPr="00CD24D3" w:rsidRDefault="00A9710C" w:rsidP="00FD04B9">
      <w:pPr>
        <w:pStyle w:val="Heading3"/>
        <w:spacing w:before="74"/>
        <w:rPr>
          <w:rFonts w:asciiTheme="majorBidi" w:hAnsiTheme="majorBidi" w:cstheme="majorBidi"/>
          <w:b w:val="0"/>
          <w:sz w:val="22"/>
          <w:szCs w:val="22"/>
        </w:rPr>
      </w:pPr>
      <w:r w:rsidRPr="00CD24D3">
        <w:rPr>
          <w:rFonts w:asciiTheme="majorBidi" w:hAnsiTheme="majorBidi" w:cstheme="majorBidi"/>
          <w:b w:val="0"/>
          <w:sz w:val="22"/>
          <w:szCs w:val="22"/>
        </w:rPr>
        <w:br w:type="column"/>
      </w:r>
    </w:p>
    <w:p w14:paraId="03441B8F" w14:textId="77777777" w:rsidR="00D630DF" w:rsidRPr="00CD24D3" w:rsidRDefault="00FD04B9" w:rsidP="00724753">
      <w:pPr>
        <w:pStyle w:val="Heading3"/>
        <w:spacing w:before="74"/>
        <w:rPr>
          <w:rFonts w:asciiTheme="majorBidi" w:hAnsiTheme="majorBidi" w:cstheme="majorBidi"/>
          <w:bCs w:val="0"/>
          <w:sz w:val="22"/>
          <w:szCs w:val="22"/>
        </w:rPr>
      </w:pPr>
      <w:r w:rsidRPr="00CD24D3">
        <w:rPr>
          <w:rFonts w:asciiTheme="majorBidi" w:hAnsiTheme="majorBidi" w:cstheme="majorBidi"/>
          <w:bCs w:val="0"/>
          <w:sz w:val="22"/>
          <w:szCs w:val="22"/>
        </w:rPr>
        <w:t>Recent publication</w:t>
      </w:r>
      <w:r w:rsidR="0071491A" w:rsidRPr="00CD24D3">
        <w:rPr>
          <w:rFonts w:asciiTheme="majorBidi" w:hAnsiTheme="majorBidi" w:cstheme="majorBidi"/>
          <w:bCs w:val="0"/>
          <w:sz w:val="22"/>
          <w:szCs w:val="22"/>
        </w:rPr>
        <w:t>s</w:t>
      </w:r>
    </w:p>
    <w:p w14:paraId="66E201A8" w14:textId="77777777" w:rsidR="00D630DF" w:rsidRPr="00CD24D3" w:rsidRDefault="00CD24D3" w:rsidP="00CD24D3">
      <w:pPr>
        <w:pStyle w:val="EndNoteBibliography"/>
        <w:ind w:left="720" w:hanging="720"/>
        <w:rPr>
          <w:rFonts w:asciiTheme="majorBidi" w:hAnsiTheme="majorBidi" w:cstheme="majorBidi"/>
        </w:rPr>
      </w:pPr>
      <w:r w:rsidRPr="00CD24D3">
        <w:rPr>
          <w:rFonts w:asciiTheme="majorBidi" w:hAnsiTheme="majorBidi" w:cstheme="majorBidi"/>
        </w:rPr>
        <w:t xml:space="preserve"> </w:t>
      </w:r>
    </w:p>
    <w:p w14:paraId="07667988" w14:textId="77777777" w:rsidR="00CD24D3" w:rsidRPr="00C63443" w:rsidRDefault="00CD24D3" w:rsidP="00CD24D3">
      <w:pPr>
        <w:pStyle w:val="EndNoteBibliography"/>
        <w:ind w:left="720" w:hanging="720"/>
        <w:rPr>
          <w:rFonts w:asciiTheme="majorBidi" w:hAnsiTheme="majorBidi" w:cstheme="majorBidi"/>
        </w:rPr>
      </w:pPr>
      <w:r w:rsidRPr="00C63443">
        <w:rPr>
          <w:rFonts w:asciiTheme="majorBidi" w:hAnsiTheme="majorBidi" w:cstheme="majorBidi"/>
        </w:rPr>
        <w:fldChar w:fldCharType="begin"/>
      </w:r>
      <w:r w:rsidRPr="00C63443">
        <w:rPr>
          <w:rFonts w:asciiTheme="majorBidi" w:hAnsiTheme="majorBidi" w:cstheme="majorBidi"/>
        </w:rPr>
        <w:instrText xml:space="preserve"> ADDIN EN.REFLIST </w:instrText>
      </w:r>
      <w:r w:rsidRPr="00C63443">
        <w:rPr>
          <w:rFonts w:asciiTheme="majorBidi" w:hAnsiTheme="majorBidi" w:cstheme="majorBidi"/>
        </w:rPr>
        <w:fldChar w:fldCharType="separate"/>
      </w:r>
      <w:r w:rsidRPr="00C63443">
        <w:rPr>
          <w:rFonts w:asciiTheme="majorBidi" w:hAnsiTheme="majorBidi" w:cstheme="majorBidi"/>
        </w:rPr>
        <w:t>1.</w:t>
      </w:r>
      <w:r w:rsidRPr="00C63443">
        <w:rPr>
          <w:rFonts w:asciiTheme="majorBidi" w:hAnsiTheme="majorBidi" w:cstheme="majorBidi"/>
        </w:rPr>
        <w:tab/>
        <w:t>Clemmens, D., K. Rodriguez, and B. Leef, Knowledge, attitudes, and practices of baccalaureate nursing students regarding oral health assessment. Journal of Nursing Education, 2012. 51(9): p. 532-535.</w:t>
      </w:r>
    </w:p>
    <w:p w14:paraId="01510551" w14:textId="77777777" w:rsidR="00CD24D3" w:rsidRPr="00C63443" w:rsidRDefault="00CD24D3" w:rsidP="00CD24D3">
      <w:pPr>
        <w:pStyle w:val="EndNoteBibliography"/>
        <w:ind w:left="720" w:hanging="720"/>
        <w:rPr>
          <w:rFonts w:asciiTheme="majorBidi" w:hAnsiTheme="majorBidi" w:cstheme="majorBidi"/>
        </w:rPr>
      </w:pPr>
      <w:r w:rsidRPr="00C63443">
        <w:rPr>
          <w:rFonts w:asciiTheme="majorBidi" w:hAnsiTheme="majorBidi" w:cstheme="majorBidi"/>
        </w:rPr>
        <w:t>2.</w:t>
      </w:r>
      <w:r w:rsidRPr="00C63443">
        <w:rPr>
          <w:rFonts w:asciiTheme="majorBidi" w:hAnsiTheme="majorBidi" w:cstheme="majorBidi"/>
        </w:rPr>
        <w:tab/>
        <w:t xml:space="preserve">Estes, K.R., et al., Evaluation of an </w:t>
      </w:r>
      <w:bookmarkStart w:id="1" w:name="_GoBack"/>
      <w:bookmarkEnd w:id="1"/>
      <w:r w:rsidRPr="00C63443">
        <w:rPr>
          <w:rFonts w:asciiTheme="majorBidi" w:hAnsiTheme="majorBidi" w:cstheme="majorBidi"/>
        </w:rPr>
        <w:t>Interprofessional Oral Health Assessment Activity in Advanced Practice Nursing Education. J Dent Educ, 2018. 82(10): p. 1084-1090.</w:t>
      </w:r>
    </w:p>
    <w:p w14:paraId="1C459CAA" w14:textId="77777777" w:rsidR="00CD24D3" w:rsidRPr="00C63443" w:rsidRDefault="00CD24D3" w:rsidP="00CD24D3">
      <w:pPr>
        <w:pStyle w:val="EndNoteBibliography"/>
        <w:ind w:left="720" w:hanging="720"/>
        <w:rPr>
          <w:rFonts w:asciiTheme="majorBidi" w:hAnsiTheme="majorBidi" w:cstheme="majorBidi"/>
        </w:rPr>
      </w:pPr>
      <w:r w:rsidRPr="00C63443">
        <w:rPr>
          <w:rFonts w:asciiTheme="majorBidi" w:hAnsiTheme="majorBidi" w:cstheme="majorBidi"/>
        </w:rPr>
        <w:t>3.</w:t>
      </w:r>
      <w:r w:rsidRPr="00C63443">
        <w:rPr>
          <w:rFonts w:asciiTheme="majorBidi" w:hAnsiTheme="majorBidi" w:cstheme="majorBidi"/>
        </w:rPr>
        <w:tab/>
        <w:t>Farokhi, M.R., et al., Using Interprofessional Education to Promote Oral Health Literacy in a Faculty-Student Collaborative Practice. J Dent Educ, 2018. 82(10): p. 1091-1097.</w:t>
      </w:r>
    </w:p>
    <w:p w14:paraId="3597EDFE" w14:textId="77777777" w:rsidR="00CD24D3" w:rsidRPr="00C63443" w:rsidRDefault="00CD24D3" w:rsidP="00CD24D3">
      <w:pPr>
        <w:pStyle w:val="EndNoteBibliography"/>
        <w:ind w:left="720" w:hanging="720"/>
        <w:rPr>
          <w:rFonts w:asciiTheme="majorBidi" w:hAnsiTheme="majorBidi" w:cstheme="majorBidi"/>
        </w:rPr>
      </w:pPr>
      <w:r w:rsidRPr="00C63443">
        <w:rPr>
          <w:rFonts w:asciiTheme="majorBidi" w:hAnsiTheme="majorBidi" w:cstheme="majorBidi"/>
        </w:rPr>
        <w:t>4.</w:t>
      </w:r>
      <w:r w:rsidRPr="00C63443">
        <w:rPr>
          <w:rFonts w:asciiTheme="majorBidi" w:hAnsiTheme="majorBidi" w:cstheme="majorBidi"/>
        </w:rPr>
        <w:tab/>
        <w:t>Hein, C., D.J. Schonwetter, and A.M. Iacopino, Inclusion of oral-systemic health in predoctoral/undergraduate curricula of pharmacy, nursing, and medical schools around the world: a preliminary study. J Dent Educ, 2011. 75(9): p. 1187-99.</w:t>
      </w:r>
    </w:p>
    <w:p w14:paraId="2091EC26" w14:textId="77777777" w:rsidR="00CD24D3" w:rsidRPr="00C63443" w:rsidRDefault="00CD24D3" w:rsidP="00CD24D3">
      <w:pPr>
        <w:pStyle w:val="EndNoteBibliography"/>
        <w:ind w:left="720" w:hanging="720"/>
        <w:rPr>
          <w:rFonts w:asciiTheme="majorBidi" w:hAnsiTheme="majorBidi" w:cstheme="majorBidi"/>
        </w:rPr>
      </w:pPr>
      <w:r w:rsidRPr="00C63443">
        <w:rPr>
          <w:rFonts w:asciiTheme="majorBidi" w:hAnsiTheme="majorBidi" w:cstheme="majorBidi"/>
        </w:rPr>
        <w:t>5.</w:t>
      </w:r>
      <w:r w:rsidRPr="00C63443">
        <w:rPr>
          <w:rFonts w:asciiTheme="majorBidi" w:hAnsiTheme="majorBidi" w:cstheme="majorBidi"/>
        </w:rPr>
        <w:tab/>
        <w:t>Haresaku, S., et al., Factors associated with a positive willingness to practise oral health care in the future amongst oral healthcare and nursing students. Eur J Dent Educ, 2018. 22(3): p. e634-e643.</w:t>
      </w:r>
    </w:p>
    <w:p w14:paraId="191D38E3" w14:textId="77777777" w:rsidR="00CD24D3" w:rsidRPr="00C63443" w:rsidRDefault="00CD24D3" w:rsidP="00CD24D3">
      <w:pPr>
        <w:pStyle w:val="EndNoteBibliography"/>
        <w:ind w:left="720" w:hanging="720"/>
        <w:rPr>
          <w:rFonts w:asciiTheme="majorBidi" w:hAnsiTheme="majorBidi" w:cstheme="majorBidi"/>
        </w:rPr>
      </w:pPr>
      <w:r w:rsidRPr="00C63443">
        <w:rPr>
          <w:rFonts w:asciiTheme="majorBidi" w:hAnsiTheme="majorBidi" w:cstheme="majorBidi"/>
        </w:rPr>
        <w:t>6.</w:t>
      </w:r>
      <w:r w:rsidRPr="00C63443">
        <w:rPr>
          <w:rFonts w:asciiTheme="majorBidi" w:hAnsiTheme="majorBidi" w:cstheme="majorBidi"/>
        </w:rPr>
        <w:tab/>
        <w:t>Hahn, J.E., et al., Infusing oral health care into nursing curriculum: addressing preventive health in aging and disability. Nurs Res Pract, 2012. 2012: p. 157874.</w:t>
      </w:r>
    </w:p>
    <w:p w14:paraId="111C1018" w14:textId="77777777" w:rsidR="00CD24D3" w:rsidRPr="00C63443" w:rsidRDefault="00CD24D3" w:rsidP="00CD24D3">
      <w:pPr>
        <w:pStyle w:val="EndNoteBibliography"/>
        <w:ind w:left="720" w:hanging="720"/>
        <w:rPr>
          <w:rFonts w:asciiTheme="majorBidi" w:hAnsiTheme="majorBidi" w:cstheme="majorBidi"/>
        </w:rPr>
      </w:pPr>
      <w:r w:rsidRPr="00C63443">
        <w:rPr>
          <w:rFonts w:asciiTheme="majorBidi" w:hAnsiTheme="majorBidi" w:cstheme="majorBidi"/>
        </w:rPr>
        <w:t>7.</w:t>
      </w:r>
      <w:r w:rsidRPr="00C63443">
        <w:rPr>
          <w:rFonts w:asciiTheme="majorBidi" w:hAnsiTheme="majorBidi" w:cstheme="majorBidi"/>
        </w:rPr>
        <w:tab/>
        <w:t>Mehl, A.E., et al., Oral healthcare education of future nursing personnel and auxiliary nurses. Gerodontology, 2016. 33(2): p. 233-9.</w:t>
      </w:r>
    </w:p>
    <w:p w14:paraId="7CA221F6" w14:textId="77777777" w:rsidR="00D630DF" w:rsidRPr="00CD24D3" w:rsidRDefault="00CD24D3" w:rsidP="00CD24D3">
      <w:pPr>
        <w:pStyle w:val="Heading3"/>
        <w:spacing w:before="74"/>
        <w:ind w:left="0"/>
        <w:rPr>
          <w:rFonts w:asciiTheme="majorBidi" w:hAnsiTheme="majorBidi" w:cstheme="majorBidi"/>
          <w:bCs w:val="0"/>
          <w:sz w:val="22"/>
          <w:szCs w:val="22"/>
        </w:rPr>
        <w:sectPr w:rsidR="00D630DF" w:rsidRPr="00CD24D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C63443">
        <w:rPr>
          <w:rFonts w:asciiTheme="majorBidi" w:hAnsiTheme="majorBidi" w:cstheme="majorBidi"/>
          <w:b w:val="0"/>
          <w:bCs w:val="0"/>
          <w:sz w:val="22"/>
          <w:szCs w:val="22"/>
        </w:rPr>
        <w:fldChar w:fldCharType="end"/>
      </w:r>
    </w:p>
    <w:p w14:paraId="72FDD1E0" w14:textId="4F55A837" w:rsidR="00AE3E37" w:rsidRPr="00CD24D3" w:rsidRDefault="00AE3E37">
      <w:pPr>
        <w:pStyle w:val="BodyText"/>
        <w:rPr>
          <w:rFonts w:asciiTheme="majorBidi" w:hAnsiTheme="majorBidi" w:cstheme="majorBidi"/>
          <w:sz w:val="22"/>
          <w:szCs w:val="22"/>
        </w:rPr>
      </w:pPr>
    </w:p>
    <w:p w14:paraId="0E6973CA" w14:textId="77777777" w:rsidR="00AE3E37" w:rsidRPr="00CD24D3" w:rsidRDefault="00292ED9">
      <w:pPr>
        <w:pStyle w:val="BodyText"/>
        <w:spacing w:line="40" w:lineRule="exact"/>
        <w:ind w:left="2202"/>
        <w:rPr>
          <w:rFonts w:asciiTheme="majorBidi" w:hAnsiTheme="majorBidi" w:cstheme="majorBidi"/>
          <w:sz w:val="22"/>
          <w:szCs w:val="22"/>
        </w:rPr>
      </w:pPr>
      <w:r w:rsidRPr="00CD24D3">
        <w:rPr>
          <w:rFonts w:asciiTheme="majorBidi" w:hAnsiTheme="majorBidi" w:cstheme="majorBidi"/>
          <w:noProof/>
          <w:sz w:val="22"/>
          <w:szCs w:val="22"/>
          <w:lang w:val="en-IN" w:eastAsia="en-IN"/>
        </w:rPr>
        <mc:AlternateContent>
          <mc:Choice Requires="wpg">
            <w:drawing>
              <wp:inline distT="0" distB="0" distL="0" distR="0" wp14:anchorId="743ADCA4" wp14:editId="7053F2F4">
                <wp:extent cx="3975735" cy="28575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8575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4DF975" id="Group 4" o:spid="_x0000_s1026" style="width:313.05pt;height:22.5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E8BD822" w14:textId="77777777" w:rsidR="00CD24D3" w:rsidRPr="00CD24D3" w:rsidRDefault="00CD24D3" w:rsidP="00CD24D3">
      <w:pPr>
        <w:spacing w:before="92"/>
        <w:ind w:right="4234"/>
        <w:rPr>
          <w:rFonts w:asciiTheme="majorBidi" w:hAnsiTheme="majorBidi" w:cstheme="majorBidi"/>
          <w:noProof/>
        </w:rPr>
      </w:pPr>
      <w:r w:rsidRPr="00CD24D3">
        <w:rPr>
          <w:rFonts w:asciiTheme="majorBidi" w:hAnsiTheme="majorBidi" w:cstheme="majorBidi"/>
          <w:noProof/>
        </w:rPr>
        <w:drawing>
          <wp:inline distT="0" distB="0" distL="0" distR="0" wp14:anchorId="642C6583" wp14:editId="163F2F5B">
            <wp:extent cx="589915" cy="570419"/>
            <wp:effectExtent l="0" t="0" r="635" b="1270"/>
            <wp:docPr id="1" name="Picture 1" descr="Vandana Bhag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ndana Bhaga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25" cy="61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F82B1" w14:textId="47F80C21" w:rsidR="00AE3E37" w:rsidRPr="00CD24D3" w:rsidRDefault="00CD24D3" w:rsidP="00CD24D3">
      <w:pPr>
        <w:spacing w:before="92"/>
        <w:ind w:right="4234"/>
        <w:jc w:val="both"/>
        <w:rPr>
          <w:rFonts w:asciiTheme="majorBidi" w:hAnsiTheme="majorBidi" w:cstheme="majorBidi"/>
          <w:noProof/>
        </w:rPr>
      </w:pPr>
      <w:bookmarkStart w:id="2" w:name="_Hlk7608711"/>
      <w:r w:rsidRPr="00CD24D3">
        <w:rPr>
          <w:rFonts w:asciiTheme="majorBidi" w:hAnsiTheme="majorBidi" w:cstheme="majorBidi"/>
          <w:noProof/>
        </w:rPr>
        <w:t>Vandana Bhagat is a dentist from India and completed her Master</w:t>
      </w:r>
      <w:r w:rsidR="0094303F">
        <w:rPr>
          <w:rFonts w:asciiTheme="majorBidi" w:hAnsiTheme="majorBidi" w:cstheme="majorBidi"/>
          <w:noProof/>
        </w:rPr>
        <w:t>s</w:t>
      </w:r>
      <w:r w:rsidRPr="00CD24D3">
        <w:rPr>
          <w:rFonts w:asciiTheme="majorBidi" w:hAnsiTheme="majorBidi" w:cstheme="majorBidi"/>
          <w:noProof/>
        </w:rPr>
        <w:t xml:space="preserve"> </w:t>
      </w:r>
      <w:r w:rsidR="0094303F">
        <w:rPr>
          <w:rFonts w:asciiTheme="majorBidi" w:hAnsiTheme="majorBidi" w:cstheme="majorBidi"/>
          <w:noProof/>
        </w:rPr>
        <w:t>degree</w:t>
      </w:r>
      <w:r w:rsidR="005B7EDD">
        <w:rPr>
          <w:rFonts w:asciiTheme="majorBidi" w:hAnsiTheme="majorBidi" w:cstheme="majorBidi"/>
          <w:noProof/>
        </w:rPr>
        <w:t xml:space="preserve"> </w:t>
      </w:r>
      <w:r w:rsidRPr="00CD24D3">
        <w:rPr>
          <w:rFonts w:asciiTheme="majorBidi" w:hAnsiTheme="majorBidi" w:cstheme="majorBidi"/>
          <w:noProof/>
        </w:rPr>
        <w:t>in advanced Health Services Mangement from Griffith University, Australia. She is currently a PhD candidate in the Centre of Rural Health at University of Tasmania, Australia.</w:t>
      </w:r>
    </w:p>
    <w:bookmarkEnd w:id="2"/>
    <w:p w14:paraId="6075A155" w14:textId="77777777" w:rsidR="00AE3E37" w:rsidRPr="00CD24D3" w:rsidRDefault="00A9710C" w:rsidP="00CD24D3">
      <w:pPr>
        <w:spacing w:before="62"/>
        <w:ind w:right="4235"/>
        <w:rPr>
          <w:rFonts w:ascii="Times New Roman" w:hAnsi="Times New Roman" w:cs="Times New Roman"/>
        </w:rPr>
        <w:sectPr w:rsidR="00AE3E37" w:rsidRPr="00CD24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CD24D3">
        <w:rPr>
          <w:rFonts w:asciiTheme="majorBidi" w:hAnsiTheme="majorBidi" w:cstheme="majorBidi"/>
        </w:rPr>
        <w:lastRenderedPageBreak/>
        <w:t xml:space="preserve">Email: </w:t>
      </w:r>
      <w:r w:rsidR="00CD24D3" w:rsidRPr="00CD24D3">
        <w:rPr>
          <w:rStyle w:val="Hyperlink"/>
          <w:rFonts w:asciiTheme="majorBidi" w:hAnsiTheme="majorBidi" w:cstheme="majorBidi"/>
          <w:color w:val="auto"/>
        </w:rPr>
        <w:t>vandana</w:t>
      </w:r>
      <w:r w:rsidR="00292ED9" w:rsidRPr="00CD24D3">
        <w:rPr>
          <w:rFonts w:asciiTheme="majorBidi" w:hAnsiTheme="majorBidi" w:cstheme="majorBidi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11086498" wp14:editId="0A07C6F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5D074" id="Line 3" o:spid="_x0000_s1026" style="position:absolute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End w:id="0"/>
      <w:r w:rsidR="00901849">
        <w:rPr>
          <w:rStyle w:val="Hyperlink"/>
          <w:rFonts w:asciiTheme="majorBidi" w:hAnsiTheme="majorBidi" w:cstheme="majorBidi"/>
          <w:color w:val="auto"/>
        </w:rPr>
        <w:t>.bhagat@utas.edu.au</w:t>
      </w:r>
    </w:p>
    <w:p w14:paraId="1BBB1C56" w14:textId="77777777" w:rsidR="00AE3E37" w:rsidRPr="00AE159F" w:rsidRDefault="00AE3E37" w:rsidP="00CD24D3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sectPr w:rsidR="00AE3E37" w:rsidRPr="00AE159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A4E0F" w14:textId="77777777" w:rsidR="0002205D" w:rsidRDefault="0002205D">
      <w:r>
        <w:separator/>
      </w:r>
    </w:p>
  </w:endnote>
  <w:endnote w:type="continuationSeparator" w:id="0">
    <w:p w14:paraId="1E8A577E" w14:textId="77777777" w:rsidR="0002205D" w:rsidRDefault="00022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9650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ABC6B98" wp14:editId="1978616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7DD8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3FAC4D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C6B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14F7DD8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3FAC4D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3A3DE604" wp14:editId="73ADFE5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2731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046179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3DE604" id="Text Box 2" o:spid="_x0000_s1029" type="#_x0000_t202" style="position:absolute;margin-left:252.1pt;margin-top:799.05pt;width:91.9pt;height:24.9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2042731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046179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750450F5" wp14:editId="41A2CE1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DF0A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357278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0450F5" id="Text Box 1" o:spid="_x0000_s1030" type="#_x0000_t202" style="position:absolute;margin-left:468.9pt;margin-top:798.8pt;width:91.4pt;height:26.0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2F8DF0A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357278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2BBBB" w14:textId="77777777" w:rsidR="0002205D" w:rsidRDefault="0002205D">
      <w:r>
        <w:separator/>
      </w:r>
    </w:p>
  </w:footnote>
  <w:footnote w:type="continuationSeparator" w:id="0">
    <w:p w14:paraId="178CEE0B" w14:textId="77777777" w:rsidR="0002205D" w:rsidRDefault="00022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944C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38784" behindDoc="1" locked="0" layoutInCell="1" allowOverlap="1" wp14:anchorId="3A4F8950" wp14:editId="185382F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C9821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4F895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1DC9821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56D389A7" wp14:editId="0C54C2A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EC42F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298FA1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D389A7" id="Text Box 4" o:spid="_x0000_s1027" type="#_x0000_t202" style="position:absolute;margin-left:35pt;margin-top:48.3pt;width:515.95pt;height:40.1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145EC42F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298FA1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Q0sTA3MzUzBpIW5ko6SsGpxcWZ+XkgBca1AF0GZ4MsAAAA"/>
  </w:docVars>
  <w:rsids>
    <w:rsidRoot w:val="00AE3E37"/>
    <w:rsid w:val="0002205D"/>
    <w:rsid w:val="000867B4"/>
    <w:rsid w:val="000A2D3A"/>
    <w:rsid w:val="000E2911"/>
    <w:rsid w:val="001263DF"/>
    <w:rsid w:val="001726CD"/>
    <w:rsid w:val="001C4E33"/>
    <w:rsid w:val="00222940"/>
    <w:rsid w:val="00233D16"/>
    <w:rsid w:val="002455EC"/>
    <w:rsid w:val="00247F76"/>
    <w:rsid w:val="00274331"/>
    <w:rsid w:val="00291687"/>
    <w:rsid w:val="00292ED9"/>
    <w:rsid w:val="003138E7"/>
    <w:rsid w:val="00315B2B"/>
    <w:rsid w:val="00335EF9"/>
    <w:rsid w:val="003635B2"/>
    <w:rsid w:val="003A16E5"/>
    <w:rsid w:val="003A3B28"/>
    <w:rsid w:val="003D430B"/>
    <w:rsid w:val="00404E5B"/>
    <w:rsid w:val="00414F7B"/>
    <w:rsid w:val="004355DC"/>
    <w:rsid w:val="00452B04"/>
    <w:rsid w:val="004749B4"/>
    <w:rsid w:val="004830E9"/>
    <w:rsid w:val="00494130"/>
    <w:rsid w:val="00497108"/>
    <w:rsid w:val="004A5302"/>
    <w:rsid w:val="004D112F"/>
    <w:rsid w:val="004D23EB"/>
    <w:rsid w:val="004F3523"/>
    <w:rsid w:val="005973B9"/>
    <w:rsid w:val="005B3A56"/>
    <w:rsid w:val="005B7EDD"/>
    <w:rsid w:val="006060CE"/>
    <w:rsid w:val="00612854"/>
    <w:rsid w:val="0063497F"/>
    <w:rsid w:val="00646180"/>
    <w:rsid w:val="00650883"/>
    <w:rsid w:val="00683913"/>
    <w:rsid w:val="006C1FE8"/>
    <w:rsid w:val="006D2B0F"/>
    <w:rsid w:val="006F28F0"/>
    <w:rsid w:val="0071491A"/>
    <w:rsid w:val="00724753"/>
    <w:rsid w:val="0074567B"/>
    <w:rsid w:val="007717D2"/>
    <w:rsid w:val="007A7E52"/>
    <w:rsid w:val="00850717"/>
    <w:rsid w:val="00873DF0"/>
    <w:rsid w:val="008756E6"/>
    <w:rsid w:val="00893F0C"/>
    <w:rsid w:val="008A08B6"/>
    <w:rsid w:val="008A198C"/>
    <w:rsid w:val="008B72EC"/>
    <w:rsid w:val="008C7A30"/>
    <w:rsid w:val="00901849"/>
    <w:rsid w:val="0094303F"/>
    <w:rsid w:val="00991D5C"/>
    <w:rsid w:val="009B2D44"/>
    <w:rsid w:val="00A07E82"/>
    <w:rsid w:val="00A52704"/>
    <w:rsid w:val="00A9710C"/>
    <w:rsid w:val="00AE159F"/>
    <w:rsid w:val="00AE3E37"/>
    <w:rsid w:val="00B21A57"/>
    <w:rsid w:val="00B24B4F"/>
    <w:rsid w:val="00B64E4F"/>
    <w:rsid w:val="00BA5CAD"/>
    <w:rsid w:val="00BB6C63"/>
    <w:rsid w:val="00C0298B"/>
    <w:rsid w:val="00C256DE"/>
    <w:rsid w:val="00C33602"/>
    <w:rsid w:val="00C50392"/>
    <w:rsid w:val="00C61FD5"/>
    <w:rsid w:val="00C63443"/>
    <w:rsid w:val="00CD24D3"/>
    <w:rsid w:val="00CD401D"/>
    <w:rsid w:val="00CD6F55"/>
    <w:rsid w:val="00CF0E97"/>
    <w:rsid w:val="00D630DF"/>
    <w:rsid w:val="00DD065E"/>
    <w:rsid w:val="00DE3104"/>
    <w:rsid w:val="00DF6D13"/>
    <w:rsid w:val="00E12031"/>
    <w:rsid w:val="00E26B10"/>
    <w:rsid w:val="00EB4B49"/>
    <w:rsid w:val="00EC3D67"/>
    <w:rsid w:val="00F6655A"/>
    <w:rsid w:val="00F72EEA"/>
    <w:rsid w:val="00F84CAE"/>
    <w:rsid w:val="00FC55FC"/>
    <w:rsid w:val="00FC6A67"/>
    <w:rsid w:val="00FD04B9"/>
    <w:rsid w:val="00FF1FEF"/>
    <w:rsid w:val="00FF4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C8BCB3"/>
  <w15:docId w15:val="{96397901-2097-449F-B79E-66E8A9FF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1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1D5C"/>
    <w:pPr>
      <w:widowControl/>
      <w:spacing w:after="160"/>
    </w:pPr>
    <w:rPr>
      <w:rFonts w:asciiTheme="minorHAnsi" w:eastAsiaTheme="minorHAnsi" w:hAnsiTheme="minorHAnsi" w:cstheme="minorBidi"/>
      <w:sz w:val="20"/>
      <w:szCs w:val="20"/>
      <w:lang w:val="en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D5C"/>
    <w:rPr>
      <w:sz w:val="20"/>
      <w:szCs w:val="20"/>
      <w:lang w:val="en-IN"/>
    </w:rPr>
  </w:style>
  <w:style w:type="paragraph" w:customStyle="1" w:styleId="EndNoteBibliography">
    <w:name w:val="EndNote Bibliography"/>
    <w:basedOn w:val="Normal"/>
    <w:link w:val="EndNoteBibliographyChar"/>
    <w:rsid w:val="00D630DF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630DF"/>
    <w:rPr>
      <w:rFonts w:ascii="Tw Cen MT" w:eastAsia="Tw Cen MT" w:hAnsi="Tw Cen MT" w:cs="Tw Cen MT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3EB"/>
    <w:pPr>
      <w:widowControl w:val="0"/>
      <w:spacing w:after="0"/>
    </w:pPr>
    <w:rPr>
      <w:rFonts w:ascii="Tw Cen MT" w:eastAsia="Tw Cen MT" w:hAnsi="Tw Cen MT" w:cs="Tw Cen MT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3EB"/>
    <w:rPr>
      <w:rFonts w:ascii="Tw Cen MT" w:eastAsia="Tw Cen MT" w:hAnsi="Tw Cen MT" w:cs="Tw Cen MT"/>
      <w:b/>
      <w:bCs/>
      <w:sz w:val="20"/>
      <w:szCs w:val="20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3CCEE-395C-4DAD-BD35-D044C76AF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Vandana Bhagat</cp:lastModifiedBy>
  <cp:revision>2</cp:revision>
  <dcterms:created xsi:type="dcterms:W3CDTF">2019-05-06T05:34:00Z</dcterms:created>
  <dcterms:modified xsi:type="dcterms:W3CDTF">2019-05-06T05:34:00Z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