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8F7485" w:rsidP="00494130">
      <w:pPr>
        <w:pStyle w:val="1"/>
        <w:spacing w:before="170"/>
        <w:ind w:left="0"/>
      </w:pPr>
      <w:r>
        <w:rPr>
          <w:color w:val="337AB7"/>
        </w:rPr>
        <w:t>P</w:t>
      </w:r>
      <w:r w:rsidR="007E4F18">
        <w:rPr>
          <w:color w:val="337AB7"/>
        </w:rPr>
        <w:t xml:space="preserve">arents’ administration of medication to their children and the related educational needs of the parents </w:t>
      </w:r>
      <w:r w:rsidR="00C051ED">
        <w:rPr>
          <w:color w:val="337AB7"/>
        </w:rPr>
        <w:t xml:space="preserve"> </w:t>
      </w:r>
      <w:r>
        <w:rPr>
          <w:color w:val="337AB7"/>
        </w:rPr>
        <w:t xml:space="preserve"> </w:t>
      </w:r>
    </w:p>
    <w:p w:rsidR="00C051ED" w:rsidRDefault="00C051ED" w:rsidP="005973B9">
      <w:pPr>
        <w:pStyle w:val="a3"/>
        <w:spacing w:before="73" w:line="198" w:lineRule="exact"/>
        <w:ind w:left="100" w:right="5987"/>
        <w:rPr>
          <w:rFonts w:ascii="Arial"/>
        </w:rPr>
      </w:pPr>
      <w:proofErr w:type="spellStart"/>
      <w:r>
        <w:rPr>
          <w:rFonts w:ascii="Arial"/>
        </w:rPr>
        <w:t>Mi</w:t>
      </w:r>
      <w:proofErr w:type="spellEnd"/>
      <w:r>
        <w:rPr>
          <w:rFonts w:ascii="Arial"/>
        </w:rPr>
        <w:t xml:space="preserve">-Ae You, </w:t>
      </w:r>
      <w:r w:rsidR="005973B9">
        <w:rPr>
          <w:rFonts w:ascii="Arial"/>
        </w:rPr>
        <w:t>RN PhD</w:t>
      </w:r>
      <w:r>
        <w:rPr>
          <w:rFonts w:ascii="Arial"/>
        </w:rPr>
        <w:t xml:space="preserve"> PPCNP-BC</w:t>
      </w:r>
      <w:r w:rsidR="005973B9">
        <w:rPr>
          <w:rFonts w:ascii="Arial"/>
        </w:rPr>
        <w:t xml:space="preserve">, </w:t>
      </w:r>
      <w:r>
        <w:rPr>
          <w:rFonts w:ascii="Arial"/>
        </w:rPr>
        <w:t>College of Nursing</w:t>
      </w:r>
    </w:p>
    <w:p w:rsidR="0078738A" w:rsidRDefault="00C051ED" w:rsidP="005973B9">
      <w:pPr>
        <w:pStyle w:val="a3"/>
        <w:spacing w:before="73" w:line="198" w:lineRule="exact"/>
        <w:ind w:left="100" w:right="5987"/>
        <w:rPr>
          <w:rFonts w:ascii="Arial"/>
        </w:rPr>
      </w:pPr>
      <w:proofErr w:type="spellStart"/>
      <w:r>
        <w:rPr>
          <w:rFonts w:ascii="Arial"/>
        </w:rPr>
        <w:t>Ajou</w:t>
      </w:r>
      <w:proofErr w:type="spellEnd"/>
      <w:r>
        <w:rPr>
          <w:rFonts w:ascii="Arial"/>
        </w:rPr>
        <w:t xml:space="preserve"> University, Suwon, South Korea  </w:t>
      </w:r>
      <w:r w:rsidR="005973B9">
        <w:rPr>
          <w:rFonts w:ascii="Arial"/>
        </w:rPr>
        <w:t xml:space="preserve"> </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7E4F18">
      <w:pPr>
        <w:pStyle w:val="3"/>
        <w:spacing w:before="147"/>
        <w:ind w:left="0"/>
        <w:jc w:val="both"/>
        <w:rPr>
          <w:color w:val="BF5A14"/>
        </w:rPr>
      </w:pPr>
      <w:r>
        <w:rPr>
          <w:color w:val="BF5A14"/>
        </w:rPr>
        <w:t>Abstract</w:t>
      </w:r>
      <w:r w:rsidR="00404E5B">
        <w:rPr>
          <w:color w:val="BF5A14"/>
        </w:rPr>
        <w:t xml:space="preserve"> (300 word limit)</w:t>
      </w:r>
    </w:p>
    <w:p w:rsidR="002B6895" w:rsidRPr="007E4F18" w:rsidRDefault="002B6895" w:rsidP="002B6895">
      <w:pPr>
        <w:spacing w:line="360" w:lineRule="auto"/>
        <w:jc w:val="both"/>
        <w:rPr>
          <w:sz w:val="18"/>
        </w:rPr>
      </w:pPr>
      <w:r w:rsidRPr="007E4F18">
        <w:rPr>
          <w:rFonts w:eastAsia="맑은 고딕"/>
          <w:b/>
          <w:bCs/>
          <w:sz w:val="18"/>
          <w:lang w:eastAsia="ko-KR"/>
        </w:rPr>
        <w:t>S</w:t>
      </w:r>
      <w:r w:rsidRPr="007E4F18">
        <w:rPr>
          <w:rFonts w:eastAsia="맑은 고딕" w:hint="eastAsia"/>
          <w:b/>
          <w:bCs/>
          <w:sz w:val="18"/>
          <w:lang w:eastAsia="ko-KR"/>
        </w:rPr>
        <w:t xml:space="preserve">tatement </w:t>
      </w:r>
      <w:r w:rsidRPr="007E4F18">
        <w:rPr>
          <w:rFonts w:eastAsia="맑은 고딕"/>
          <w:b/>
          <w:bCs/>
          <w:sz w:val="18"/>
          <w:lang w:eastAsia="ko-KR"/>
        </w:rPr>
        <w:t>of the Problem</w:t>
      </w:r>
      <w:r w:rsidRPr="007E4F18">
        <w:rPr>
          <w:rFonts w:eastAsia="맑은 고딕"/>
          <w:b/>
          <w:bCs/>
          <w:sz w:val="18"/>
        </w:rPr>
        <w:t xml:space="preserve">: </w:t>
      </w:r>
      <w:r w:rsidRPr="007E4F18">
        <w:rPr>
          <w:rFonts w:eastAsia="맑은 고딕"/>
          <w:sz w:val="18"/>
        </w:rPr>
        <w:t>With regard to administering medication, parents sometimes mix up medicines or administer medication improperly due to complicated methods, and experience difficulties in administering the correct dosages</w:t>
      </w:r>
      <w:r>
        <w:rPr>
          <w:rFonts w:eastAsia="맑은 고딕"/>
          <w:sz w:val="18"/>
        </w:rPr>
        <w:t xml:space="preserve">. </w:t>
      </w:r>
      <w:r w:rsidRPr="007E4F18">
        <w:rPr>
          <w:rFonts w:eastAsia="맑은 고딕"/>
          <w:sz w:val="18"/>
        </w:rPr>
        <w:t xml:space="preserve">It is important to first determine how much parents know about administering medication. As mothers are primary caregivers, this study set out to assess how much mothers know about administering medication, and their related educational needs. Further, this study aimed to identify the factors that affect the administration of medication to children at home. </w:t>
      </w:r>
      <w:r w:rsidRPr="007E4F18">
        <w:rPr>
          <w:rFonts w:eastAsia="맑은 고딕"/>
          <w:b/>
          <w:bCs/>
          <w:sz w:val="18"/>
        </w:rPr>
        <w:t xml:space="preserve">Methodology: </w:t>
      </w:r>
      <w:r w:rsidRPr="007E4F18">
        <w:rPr>
          <w:rFonts w:eastAsia="맑은 고딕"/>
          <w:sz w:val="18"/>
        </w:rPr>
        <w:t xml:space="preserve">Five mothers who had administered medication to their preschool children at least once were randomly sampled as the study’s research subjects. The research data were collected through one-on-one in-depth interviews. </w:t>
      </w:r>
      <w:r w:rsidRPr="007E4F18">
        <w:rPr>
          <w:rFonts w:eastAsia="맑은 고딕"/>
          <w:spacing w:val="2"/>
          <w:sz w:val="18"/>
        </w:rPr>
        <w:t xml:space="preserve">Data analysis was conducted by analyzing the interview responses to some of the main questions, based on the notes taken in the interview. </w:t>
      </w:r>
      <w:r w:rsidRPr="007E4F18">
        <w:rPr>
          <w:rFonts w:eastAsia="맑은 고딕"/>
          <w:b/>
          <w:bCs/>
          <w:sz w:val="18"/>
        </w:rPr>
        <w:t xml:space="preserve">Conclusion &amp; Significance: </w:t>
      </w:r>
      <w:r w:rsidRPr="007E4F18">
        <w:rPr>
          <w:rFonts w:eastAsia="맑은 고딕"/>
          <w:sz w:val="18"/>
        </w:rPr>
        <w:t xml:space="preserve">The caregiver who usually (most often) gave medication to the children was their mother, and every mother who participated in this research responded that she had administered fever reducers and antibiotics to her children. Some of them stated that they had been told how to administer medication by doctors or pharmacists, but had not been given information about side effects or precautions. They also responded that they sometimes stopped administering the prescribed medication to their child when his or her symptoms disappeared, and stored the remaining medication for possible future needs of the child’s siblings. They added that proper education on administering medication was needed for them to safely administer medicine to their children. The findings showed that the mothers who participated as research subjects in this study had different experiences of administering medication, and relevant education based on correct knowledge was needed for them to administer medication safely at home. </w:t>
      </w:r>
    </w:p>
    <w:p w:rsidR="002B6895" w:rsidRPr="00C051ED" w:rsidRDefault="002B6895" w:rsidP="002B6895">
      <w:pPr>
        <w:spacing w:line="360" w:lineRule="auto"/>
        <w:jc w:val="both"/>
        <w:rPr>
          <w:rFonts w:eastAsia="AdvTTf1279dcd" w:cs="Times New Roman"/>
          <w:sz w:val="18"/>
          <w:szCs w:val="18"/>
        </w:rPr>
      </w:pPr>
      <w:r w:rsidRPr="00C051ED">
        <w:rPr>
          <w:rFonts w:eastAsia="AdvTTf1279dcd" w:cs="Times New Roman"/>
          <w:b/>
          <w:sz w:val="18"/>
          <w:szCs w:val="18"/>
        </w:rPr>
        <w:t>Keywords:</w:t>
      </w:r>
      <w:r w:rsidRPr="00C051ED">
        <w:rPr>
          <w:rFonts w:eastAsia="AdvTTf1279dcd" w:cs="Times New Roman"/>
          <w:sz w:val="18"/>
          <w:szCs w:val="18"/>
        </w:rPr>
        <w:t xml:space="preserve"> child, </w:t>
      </w:r>
      <w:r>
        <w:rPr>
          <w:rFonts w:eastAsia="AdvTTf1279dcd" w:cs="Times New Roman"/>
          <w:sz w:val="18"/>
          <w:szCs w:val="18"/>
        </w:rPr>
        <w:t xml:space="preserve">education, </w:t>
      </w:r>
      <w:r w:rsidRPr="00C051ED">
        <w:rPr>
          <w:rFonts w:eastAsia="AdvTTf1279dcd" w:cs="Times New Roman"/>
          <w:sz w:val="18"/>
          <w:szCs w:val="18"/>
        </w:rPr>
        <w:t xml:space="preserve">medication, safety, parents  </w:t>
      </w:r>
    </w:p>
    <w:p w:rsidR="00AE3E37" w:rsidRDefault="00A9710C" w:rsidP="002B6895">
      <w:pPr>
        <w:pStyle w:val="3"/>
        <w:spacing w:before="74"/>
        <w:ind w:left="0"/>
      </w:pPr>
      <w:r>
        <w:rPr>
          <w:b w:val="0"/>
        </w:rPr>
        <w:br w:type="column"/>
      </w:r>
      <w:r w:rsidR="00C051ED">
        <w:rPr>
          <w:color w:val="BF5A14"/>
        </w:rPr>
        <w:t>Acknowledgement</w:t>
      </w:r>
    </w:p>
    <w:p w:rsidR="008F7485" w:rsidRPr="00C051ED" w:rsidRDefault="008F7485" w:rsidP="008F7485">
      <w:pPr>
        <w:spacing w:line="360" w:lineRule="auto"/>
        <w:rPr>
          <w:rFonts w:cs="Times New Roman"/>
          <w:sz w:val="18"/>
          <w:szCs w:val="20"/>
        </w:rPr>
      </w:pPr>
      <w:r w:rsidRPr="00C051ED">
        <w:rPr>
          <w:rFonts w:cs="Times New Roman"/>
          <w:sz w:val="18"/>
          <w:szCs w:val="20"/>
        </w:rPr>
        <w:t xml:space="preserve">This research was supported by Basic Science Research Program through the National Research Foundation of Korea (NRF) funded by the Ministry of Education (2016R1D1A1B03933095).  </w:t>
      </w:r>
    </w:p>
    <w:p w:rsidR="00AE3E37" w:rsidRDefault="00AE3E37" w:rsidP="008F7485">
      <w:pPr>
        <w:pStyle w:val="a3"/>
        <w:spacing w:before="2" w:line="360" w:lineRule="auto"/>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B27335" w:rsidRPr="00B27335" w:rsidRDefault="00B27335" w:rsidP="00B27335">
      <w:pPr>
        <w:pStyle w:val="a4"/>
        <w:numPr>
          <w:ilvl w:val="0"/>
          <w:numId w:val="5"/>
        </w:numPr>
        <w:spacing w:line="276" w:lineRule="auto"/>
        <w:rPr>
          <w:rFonts w:eastAsiaTheme="minorEastAsia"/>
          <w:sz w:val="18"/>
          <w:szCs w:val="18"/>
          <w:lang w:eastAsia="ko-KR"/>
        </w:rPr>
      </w:pPr>
      <w:r w:rsidRPr="00B27335">
        <w:rPr>
          <w:bCs/>
          <w:sz w:val="18"/>
          <w:szCs w:val="18"/>
        </w:rPr>
        <w:t>Lee YM, Yu HY, You MA, Son YJ (2017) Impact of health literacy on medication adherence in older people with chronic diseases.</w:t>
      </w:r>
      <w:r w:rsidRPr="00B27335">
        <w:rPr>
          <w:rFonts w:eastAsiaTheme="minorEastAsia"/>
          <w:sz w:val="18"/>
          <w:szCs w:val="18"/>
          <w:lang w:eastAsia="ko-KR"/>
        </w:rPr>
        <w:t xml:space="preserve"> Collegian 24: 11-18.  </w:t>
      </w:r>
    </w:p>
    <w:p w:rsidR="00B27335" w:rsidRPr="00B27335" w:rsidRDefault="00B27335" w:rsidP="00B27335">
      <w:pPr>
        <w:pStyle w:val="a4"/>
        <w:numPr>
          <w:ilvl w:val="0"/>
          <w:numId w:val="5"/>
        </w:numPr>
        <w:spacing w:line="276" w:lineRule="auto"/>
        <w:rPr>
          <w:rFonts w:eastAsiaTheme="minorEastAsia"/>
          <w:sz w:val="18"/>
          <w:szCs w:val="18"/>
          <w:lang w:eastAsia="ko-KR"/>
        </w:rPr>
      </w:pPr>
      <w:r w:rsidRPr="00B27335">
        <w:rPr>
          <w:rFonts w:eastAsiaTheme="minorEastAsia"/>
          <w:sz w:val="18"/>
          <w:szCs w:val="18"/>
          <w:lang w:eastAsia="ko-KR"/>
        </w:rPr>
        <w:t xml:space="preserve">You MA, Nam SM, Son YJ (2015) Parental experiences of medication administration to children at home and understanding of adverse drug events. The Journal of Nursing Research 23: 189-196. </w:t>
      </w:r>
    </w:p>
    <w:p w:rsidR="00B27335" w:rsidRPr="00B27335" w:rsidRDefault="00B27335" w:rsidP="00B27335">
      <w:pPr>
        <w:pStyle w:val="a4"/>
        <w:numPr>
          <w:ilvl w:val="0"/>
          <w:numId w:val="5"/>
        </w:numPr>
        <w:spacing w:line="276" w:lineRule="auto"/>
        <w:rPr>
          <w:rFonts w:eastAsiaTheme="minorEastAsia"/>
          <w:sz w:val="18"/>
          <w:szCs w:val="18"/>
          <w:lang w:eastAsia="ko-KR"/>
        </w:rPr>
      </w:pPr>
      <w:r w:rsidRPr="00B27335">
        <w:rPr>
          <w:rFonts w:eastAsiaTheme="minorEastAsia"/>
          <w:sz w:val="18"/>
          <w:szCs w:val="18"/>
          <w:lang w:eastAsia="ko-KR"/>
        </w:rPr>
        <w:t xml:space="preserve">You MA, </w:t>
      </w:r>
      <w:proofErr w:type="spellStart"/>
      <w:r w:rsidRPr="00B27335">
        <w:rPr>
          <w:rFonts w:eastAsiaTheme="minorEastAsia"/>
          <w:sz w:val="18"/>
          <w:szCs w:val="18"/>
          <w:lang w:eastAsia="ko-KR"/>
        </w:rPr>
        <w:t>Choe</w:t>
      </w:r>
      <w:proofErr w:type="spellEnd"/>
      <w:r w:rsidRPr="00B27335">
        <w:rPr>
          <w:rFonts w:eastAsiaTheme="minorEastAsia"/>
          <w:sz w:val="18"/>
          <w:szCs w:val="18"/>
          <w:lang w:eastAsia="ko-KR"/>
        </w:rPr>
        <w:t xml:space="preserve"> MH, Park GO, Kim SH, Son YJ (2015) Perceptions regarding medication administration errors among hospital staff nurses of South Korea. International Journal for Quality in Health Care 27:276-283. </w:t>
      </w:r>
    </w:p>
    <w:p w:rsidR="00B27335" w:rsidRDefault="00B27335" w:rsidP="00B27335">
      <w:pPr>
        <w:pStyle w:val="a4"/>
        <w:numPr>
          <w:ilvl w:val="0"/>
          <w:numId w:val="5"/>
        </w:numPr>
        <w:spacing w:line="276" w:lineRule="auto"/>
        <w:rPr>
          <w:rFonts w:eastAsiaTheme="minorEastAsia"/>
          <w:sz w:val="18"/>
          <w:szCs w:val="18"/>
          <w:lang w:eastAsia="ko-KR"/>
        </w:rPr>
      </w:pPr>
      <w:r w:rsidRPr="00B27335">
        <w:rPr>
          <w:rFonts w:eastAsiaTheme="minorEastAsia"/>
          <w:sz w:val="18"/>
          <w:szCs w:val="18"/>
          <w:lang w:eastAsia="ko-KR"/>
        </w:rPr>
        <w:t xml:space="preserve">Son YJ, You MA (2015) Transitional care for older adults with chronic illnesses as a vulnerable population: Theoretical framework and future directions in nursing. Journal of Korean Academy of Nursing 45: 919-927. </w:t>
      </w:r>
    </w:p>
    <w:p w:rsidR="00B27335" w:rsidRPr="00B27335" w:rsidRDefault="00B27335" w:rsidP="00B27335">
      <w:pPr>
        <w:pStyle w:val="a4"/>
        <w:numPr>
          <w:ilvl w:val="0"/>
          <w:numId w:val="5"/>
        </w:numPr>
        <w:spacing w:line="276" w:lineRule="auto"/>
        <w:rPr>
          <w:rFonts w:eastAsiaTheme="minorEastAsia"/>
          <w:sz w:val="18"/>
          <w:szCs w:val="18"/>
          <w:lang w:eastAsia="ko-KR"/>
        </w:rPr>
      </w:pPr>
      <w:r>
        <w:rPr>
          <w:rFonts w:eastAsiaTheme="minorEastAsia"/>
          <w:sz w:val="18"/>
          <w:szCs w:val="18"/>
          <w:lang w:eastAsia="ko-KR"/>
        </w:rPr>
        <w:t xml:space="preserve">So </w:t>
      </w:r>
      <w:r w:rsidRPr="00B27335">
        <w:rPr>
          <w:rFonts w:eastAsiaTheme="minorEastAsia"/>
          <w:sz w:val="18"/>
          <w:szCs w:val="18"/>
          <w:lang w:eastAsia="ko-KR"/>
        </w:rPr>
        <w:t xml:space="preserve">HS, </w:t>
      </w:r>
      <w:r>
        <w:rPr>
          <w:rFonts w:eastAsiaTheme="minorEastAsia"/>
          <w:sz w:val="18"/>
          <w:szCs w:val="18"/>
          <w:lang w:eastAsia="ko-KR"/>
        </w:rPr>
        <w:t xml:space="preserve">You </w:t>
      </w:r>
      <w:r w:rsidRPr="00B27335">
        <w:rPr>
          <w:rFonts w:eastAsiaTheme="minorEastAsia"/>
          <w:sz w:val="18"/>
          <w:szCs w:val="18"/>
          <w:lang w:eastAsia="ko-KR"/>
        </w:rPr>
        <w:t>MA</w:t>
      </w:r>
      <w:r>
        <w:rPr>
          <w:rFonts w:eastAsiaTheme="minorEastAsia"/>
          <w:sz w:val="18"/>
          <w:szCs w:val="18"/>
          <w:lang w:eastAsia="ko-KR"/>
        </w:rPr>
        <w:t xml:space="preserve">, </w:t>
      </w:r>
      <w:proofErr w:type="spellStart"/>
      <w:r>
        <w:rPr>
          <w:rFonts w:eastAsiaTheme="minorEastAsia"/>
          <w:sz w:val="18"/>
          <w:szCs w:val="18"/>
          <w:lang w:eastAsia="ko-KR"/>
        </w:rPr>
        <w:t>Mun</w:t>
      </w:r>
      <w:proofErr w:type="spellEnd"/>
      <w:r>
        <w:rPr>
          <w:rFonts w:eastAsiaTheme="minorEastAsia"/>
          <w:sz w:val="18"/>
          <w:szCs w:val="18"/>
          <w:lang w:eastAsia="ko-KR"/>
        </w:rPr>
        <w:t xml:space="preserve"> </w:t>
      </w:r>
      <w:r w:rsidRPr="00B27335">
        <w:rPr>
          <w:rFonts w:eastAsiaTheme="minorEastAsia"/>
          <w:sz w:val="18"/>
          <w:szCs w:val="18"/>
          <w:lang w:eastAsia="ko-KR"/>
        </w:rPr>
        <w:t>JY, Hwang</w:t>
      </w:r>
      <w:r>
        <w:rPr>
          <w:rFonts w:eastAsiaTheme="minorEastAsia"/>
          <w:sz w:val="18"/>
          <w:szCs w:val="18"/>
          <w:lang w:eastAsia="ko-KR"/>
        </w:rPr>
        <w:t xml:space="preserve"> MJ</w:t>
      </w:r>
      <w:r w:rsidRPr="00B27335">
        <w:rPr>
          <w:rFonts w:eastAsiaTheme="minorEastAsia"/>
          <w:sz w:val="18"/>
          <w:szCs w:val="18"/>
          <w:lang w:eastAsia="ko-KR"/>
        </w:rPr>
        <w:t xml:space="preserve">, </w:t>
      </w:r>
      <w:r>
        <w:rPr>
          <w:rFonts w:eastAsiaTheme="minorEastAsia"/>
          <w:sz w:val="18"/>
          <w:szCs w:val="18"/>
          <w:lang w:eastAsia="ko-KR"/>
        </w:rPr>
        <w:t xml:space="preserve">Kim </w:t>
      </w:r>
      <w:r w:rsidRPr="00B27335">
        <w:rPr>
          <w:rFonts w:eastAsiaTheme="minorEastAsia"/>
          <w:sz w:val="18"/>
          <w:szCs w:val="18"/>
          <w:lang w:eastAsia="ko-KR"/>
        </w:rPr>
        <w:t xml:space="preserve">HK, </w:t>
      </w:r>
      <w:proofErr w:type="spellStart"/>
      <w:r w:rsidRPr="00B27335">
        <w:rPr>
          <w:rFonts w:eastAsiaTheme="minorEastAsia"/>
          <w:sz w:val="18"/>
          <w:szCs w:val="18"/>
          <w:lang w:eastAsia="ko-KR"/>
        </w:rPr>
        <w:t>Pyeon</w:t>
      </w:r>
      <w:proofErr w:type="spellEnd"/>
      <w:r>
        <w:rPr>
          <w:rFonts w:eastAsiaTheme="minorEastAsia"/>
          <w:sz w:val="18"/>
          <w:szCs w:val="18"/>
          <w:lang w:eastAsia="ko-KR"/>
        </w:rPr>
        <w:t xml:space="preserve"> SJ et al. (2014) </w:t>
      </w:r>
      <w:r w:rsidRPr="00B27335">
        <w:rPr>
          <w:rFonts w:eastAsiaTheme="minorEastAsia"/>
          <w:sz w:val="18"/>
          <w:szCs w:val="18"/>
          <w:lang w:eastAsia="ko-KR"/>
        </w:rPr>
        <w:t>Effect of trunk-to-head bathing on physiological responses in newborns</w:t>
      </w:r>
      <w:r>
        <w:rPr>
          <w:rFonts w:eastAsiaTheme="minorEastAsia"/>
          <w:sz w:val="18"/>
          <w:szCs w:val="18"/>
          <w:lang w:eastAsia="ko-KR"/>
        </w:rPr>
        <w:t xml:space="preserve">. </w:t>
      </w:r>
      <w:r w:rsidRPr="00B27335">
        <w:rPr>
          <w:rFonts w:eastAsiaTheme="minorEastAsia"/>
          <w:sz w:val="18"/>
          <w:szCs w:val="18"/>
          <w:lang w:eastAsia="ko-KR"/>
        </w:rPr>
        <w:t>Journal of Obstetric, Gynecologic, &amp; Neonatal Nursing 43: 742-751</w:t>
      </w:r>
      <w:r>
        <w:rPr>
          <w:rFonts w:eastAsiaTheme="minorEastAsia"/>
          <w:sz w:val="18"/>
          <w:szCs w:val="18"/>
          <w:lang w:eastAsia="ko-KR"/>
        </w:rPr>
        <w:t xml:space="preserve">. </w:t>
      </w:r>
    </w:p>
    <w:p w:rsidR="00AE3E37" w:rsidRPr="008756E6" w:rsidRDefault="00AE3E37" w:rsidP="00B27335">
      <w:pPr>
        <w:pStyle w:val="a4"/>
        <w:tabs>
          <w:tab w:val="left" w:pos="384"/>
        </w:tabs>
        <w:spacing w:before="103" w:line="216" w:lineRule="exact"/>
        <w:ind w:right="138" w:firstLine="0"/>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2B6895">
      <w:pPr>
        <w:pStyle w:val="a3"/>
        <w:rPr>
          <w:rFonts w:ascii="Calibri"/>
          <w:b/>
          <w:sz w:val="20"/>
        </w:rPr>
      </w:pPr>
      <w:r>
        <w:rPr>
          <w:noProof/>
          <w:lang w:eastAsia="ko-KR"/>
        </w:rPr>
        <w:drawing>
          <wp:anchor distT="0" distB="0" distL="114300" distR="114300" simplePos="0" relativeHeight="251659264" behindDoc="0" locked="0" layoutInCell="1" allowOverlap="1" wp14:anchorId="46C9B6EB" wp14:editId="68A97020">
            <wp:simplePos x="0" y="0"/>
            <wp:positionH relativeFrom="margin">
              <wp:posOffset>-3175</wp:posOffset>
            </wp:positionH>
            <wp:positionV relativeFrom="line">
              <wp:posOffset>254635</wp:posOffset>
            </wp:positionV>
            <wp:extent cx="532130" cy="769620"/>
            <wp:effectExtent l="0" t="0" r="1270" b="0"/>
            <wp:wrapThrough wrapText="bothSides">
              <wp:wrapPolygon edited="0">
                <wp:start x="0" y="0"/>
                <wp:lineTo x="0" y="20851"/>
                <wp:lineTo x="20878" y="20851"/>
                <wp:lineTo x="20878" y="0"/>
                <wp:lineTo x="0" y="0"/>
              </wp:wrapPolygon>
            </wp:wrapThrough>
            <wp:docPr id="3" name="_x274326600" descr="EMB000005440f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274326600" descr="EMB000005440f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2130" cy="769620"/>
                    </a:xfrm>
                    <a:prstGeom prst="rect">
                      <a:avLst/>
                    </a:prstGeom>
                    <a:noFill/>
                  </pic:spPr>
                </pic:pic>
              </a:graphicData>
            </a:graphic>
            <wp14:sizeRelH relativeFrom="page">
              <wp14:pctWidth>0</wp14:pctWidth>
            </wp14:sizeRelH>
            <wp14:sizeRelV relativeFrom="page">
              <wp14:pctHeight>0</wp14:pctHeight>
            </wp14:sizeRelV>
          </wp:anchor>
        </w:drawing>
      </w:r>
      <w:r w:rsidR="00D62425">
        <w:rPr>
          <w:rFonts w:ascii="Calibri"/>
          <w:sz w:val="20"/>
        </w:rPr>
        <w:t xml:space="preserve">                 </w:t>
      </w:r>
      <w:r w:rsidR="00D62425" w:rsidRPr="00D62425">
        <w:rPr>
          <w:rFonts w:ascii="Calibri"/>
          <w:b/>
          <w:sz w:val="20"/>
        </w:rPr>
        <w:t>Photograph</w:t>
      </w: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53FA56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2B6895" w:rsidRDefault="008756E6" w:rsidP="00DA1AB7">
      <w:pPr>
        <w:pStyle w:val="a9"/>
        <w:snapToGrid/>
        <w:rPr>
          <w:noProof/>
        </w:rPr>
      </w:pPr>
      <w:r>
        <w:rPr>
          <w:noProof/>
        </w:rPr>
        <w:t xml:space="preserve">             </w:t>
      </w:r>
    </w:p>
    <w:p w:rsidR="002B6895" w:rsidRDefault="002B6895" w:rsidP="00DA1AB7">
      <w:pPr>
        <w:pStyle w:val="a9"/>
        <w:snapToGrid/>
        <w:rPr>
          <w:noProof/>
        </w:rPr>
      </w:pPr>
    </w:p>
    <w:p w:rsidR="00AE3E37" w:rsidRDefault="008756E6" w:rsidP="00DA1AB7">
      <w:pPr>
        <w:pStyle w:val="a9"/>
        <w:snapToGrid/>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2B6895" w:rsidRDefault="002B6895" w:rsidP="00BD1CC8">
      <w:pPr>
        <w:pStyle w:val="Default"/>
        <w:spacing w:before="3"/>
        <w:rPr>
          <w:rFonts w:ascii="Arial" w:hAnsi="Arial" w:cs="Arial"/>
          <w:sz w:val="14"/>
          <w:szCs w:val="16"/>
        </w:rPr>
      </w:pPr>
    </w:p>
    <w:p w:rsidR="00BD1CC8" w:rsidRPr="00BD1CC8" w:rsidRDefault="00BD1CC8" w:rsidP="00BD1CC8">
      <w:pPr>
        <w:pStyle w:val="Default"/>
        <w:spacing w:before="3"/>
        <w:rPr>
          <w:rFonts w:ascii="Arial" w:hAnsi="Arial" w:cs="Arial"/>
          <w:sz w:val="14"/>
          <w:szCs w:val="16"/>
        </w:rPr>
      </w:pPr>
      <w:bookmarkStart w:id="0" w:name="_GoBack"/>
      <w:bookmarkEnd w:id="0"/>
      <w:r w:rsidRPr="00BD1CC8">
        <w:rPr>
          <w:rFonts w:ascii="Arial" w:hAnsi="Arial" w:cs="Arial"/>
          <w:sz w:val="14"/>
          <w:szCs w:val="16"/>
        </w:rPr>
        <w:t xml:space="preserve">Dr. </w:t>
      </w:r>
      <w:proofErr w:type="spellStart"/>
      <w:r w:rsidRPr="00BD1CC8">
        <w:rPr>
          <w:rFonts w:ascii="Arial" w:hAnsi="Arial" w:cs="Arial"/>
          <w:sz w:val="14"/>
          <w:szCs w:val="16"/>
        </w:rPr>
        <w:t>Mi</w:t>
      </w:r>
      <w:proofErr w:type="spellEnd"/>
      <w:r w:rsidRPr="00BD1CC8">
        <w:rPr>
          <w:rFonts w:ascii="Arial" w:hAnsi="Arial" w:cs="Arial"/>
          <w:sz w:val="14"/>
          <w:szCs w:val="16"/>
        </w:rPr>
        <w:t xml:space="preserve">-Ae You is a professor from college of nursing, </w:t>
      </w:r>
      <w:proofErr w:type="spellStart"/>
      <w:r w:rsidRPr="00BD1CC8">
        <w:rPr>
          <w:rFonts w:ascii="Arial" w:hAnsi="Arial" w:cs="Arial"/>
          <w:sz w:val="14"/>
          <w:szCs w:val="16"/>
        </w:rPr>
        <w:t>Ajou</w:t>
      </w:r>
      <w:proofErr w:type="spellEnd"/>
      <w:r w:rsidRPr="00BD1CC8">
        <w:rPr>
          <w:rFonts w:ascii="Arial" w:hAnsi="Arial" w:cs="Arial"/>
          <w:sz w:val="14"/>
          <w:szCs w:val="16"/>
        </w:rPr>
        <w:t xml:space="preserve"> University and teaching student about pediatric nursing. She has published research papers in international journals and has been serving as a reviewer.  One of her interest areas of research is safe administration of medication. She is currently conducting the project granted from government entitled development and evaluation of mobile web based program about safe medication administration for Kids’ parent.  </w:t>
      </w:r>
    </w:p>
    <w:p w:rsidR="00AE3E37" w:rsidRDefault="00A9710C" w:rsidP="00BD1CC8">
      <w:pPr>
        <w:pStyle w:val="Default"/>
        <w:spacing w:before="3"/>
        <w:jc w:val="center"/>
        <w:rPr>
          <w:rFonts w:ascii="Arial"/>
          <w:sz w:val="19"/>
        </w:rPr>
      </w:pPr>
      <w:r>
        <w:rPr>
          <w:rFonts w:ascii="Arial"/>
          <w:sz w:val="14"/>
        </w:rPr>
        <w:t xml:space="preserve">Email: </w:t>
      </w:r>
      <w:hyperlink r:id="rId10" w:history="1">
        <w:r w:rsidR="00BD1CC8" w:rsidRPr="00481A4C">
          <w:rPr>
            <w:rStyle w:val="a8"/>
            <w:rFonts w:ascii="Arial"/>
            <w:sz w:val="14"/>
          </w:rPr>
          <w:t xml:space="preserve">dew218@ajou.ac.kr </w:t>
        </w:r>
      </w:hyperlink>
      <w:r w:rsidR="00292ED9">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A7831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2B6895" w:rsidRDefault="002B6895" w:rsidP="002B6895">
      <w:pPr>
        <w:spacing w:before="39"/>
        <w:ind w:left="100"/>
        <w:rPr>
          <w:rFonts w:ascii="Minion Pro"/>
          <w:b/>
          <w:sz w:val="20"/>
        </w:rPr>
        <w:sectPr w:rsidR="00AE3E37" w:rsidRPr="002B6895">
          <w:type w:val="continuous"/>
          <w:pgSz w:w="11910" w:h="16840"/>
          <w:pgMar w:top="1740" w:right="600" w:bottom="840" w:left="620" w:header="720" w:footer="720" w:gutter="0"/>
          <w:cols w:space="720"/>
        </w:sectPr>
      </w:pPr>
      <w:r>
        <w:rPr>
          <w:rFonts w:ascii="Minion Pro"/>
          <w:b/>
          <w:sz w:val="20"/>
        </w:rPr>
        <w:t xml:space="preserve">Notes/Comments: </w:t>
      </w:r>
    </w:p>
    <w:p w:rsidR="007E4F18" w:rsidRDefault="007E4F18">
      <w:pPr>
        <w:rPr>
          <w:rFonts w:ascii="Minion Pro"/>
          <w:sz w:val="26"/>
          <w:szCs w:val="18"/>
        </w:rPr>
      </w:pPr>
    </w:p>
    <w:sectPr w:rsidR="007E4F1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7232" w:rsidRDefault="00897232">
      <w:r>
        <w:separator/>
      </w:r>
    </w:p>
  </w:endnote>
  <w:endnote w:type="continuationSeparator" w:id="0">
    <w:p w:rsidR="00897232" w:rsidRDefault="008972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굴림">
    <w:altName w:val="Gulim"/>
    <w:panose1 w:val="020B0600000101010101"/>
    <w:charset w:val="81"/>
    <w:family w:val="modern"/>
    <w:pitch w:val="variable"/>
    <w:sig w:usb0="B00002AF" w:usb1="69D77CFB" w:usb2="00000030" w:usb3="00000000" w:csb0="0008009F" w:csb1="00000000"/>
  </w:font>
  <w:font w:name="Candara">
    <w:altName w:val="Candara"/>
    <w:panose1 w:val="020E0502030303020204"/>
    <w:charset w:val="00"/>
    <w:family w:val="swiss"/>
    <w:pitch w:val="variable"/>
    <w:sig w:usb0="A00002EF" w:usb1="4000A44B" w:usb2="00000000" w:usb3="00000000" w:csb0="0000019F" w:csb1="00000000"/>
  </w:font>
  <w:font w:name="바탕">
    <w:altName w:val="Batang"/>
    <w:panose1 w:val="02030600000101010101"/>
    <w:charset w:val="81"/>
    <w:family w:val="roman"/>
    <w:pitch w:val="variable"/>
    <w:sig w:usb0="B00002AF" w:usb1="69D77CFB" w:usb2="00000030" w:usb3="00000000" w:csb0="0008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dvTTf1279dcd">
    <w:altName w:val="Arial Unicode MS"/>
    <w:panose1 w:val="00000000000000000000"/>
    <w:charset w:val="81"/>
    <w:family w:val="auto"/>
    <w:notTrueType/>
    <w:pitch w:val="default"/>
    <w:sig w:usb0="00000001" w:usb1="09060000" w:usb2="00000010" w:usb3="00000000" w:csb0="0008000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7232" w:rsidRDefault="00897232">
      <w:r>
        <w:separator/>
      </w:r>
    </w:p>
  </w:footnote>
  <w:footnote w:type="continuationSeparator" w:id="0">
    <w:p w:rsidR="00897232" w:rsidRDefault="008972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8F07C6"/>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6BFF6EC2"/>
    <w:multiLevelType w:val="hybridMultilevel"/>
    <w:tmpl w:val="7BECAD7C"/>
    <w:lvl w:ilvl="0" w:tplc="EE7488AA">
      <w:start w:val="1"/>
      <w:numFmt w:val="decimal"/>
      <w:lvlText w:val="%1."/>
      <w:lvlJc w:val="left"/>
      <w:pPr>
        <w:ind w:left="340" w:hanging="241"/>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000C5"/>
    <w:rsid w:val="001263DF"/>
    <w:rsid w:val="00132ACF"/>
    <w:rsid w:val="001E763C"/>
    <w:rsid w:val="00292ED9"/>
    <w:rsid w:val="002B6895"/>
    <w:rsid w:val="002C7AD2"/>
    <w:rsid w:val="00314AFB"/>
    <w:rsid w:val="003B4C00"/>
    <w:rsid w:val="003B76D9"/>
    <w:rsid w:val="00404E5B"/>
    <w:rsid w:val="00414F7B"/>
    <w:rsid w:val="004355DC"/>
    <w:rsid w:val="004749B4"/>
    <w:rsid w:val="00494130"/>
    <w:rsid w:val="004F3523"/>
    <w:rsid w:val="00502ABA"/>
    <w:rsid w:val="005973B9"/>
    <w:rsid w:val="005B3A56"/>
    <w:rsid w:val="006060CE"/>
    <w:rsid w:val="0063497F"/>
    <w:rsid w:val="0078738A"/>
    <w:rsid w:val="007A5A66"/>
    <w:rsid w:val="007E4F18"/>
    <w:rsid w:val="00871A9A"/>
    <w:rsid w:val="00873DF0"/>
    <w:rsid w:val="008756E6"/>
    <w:rsid w:val="00897232"/>
    <w:rsid w:val="008F7485"/>
    <w:rsid w:val="009B2D44"/>
    <w:rsid w:val="00A07E82"/>
    <w:rsid w:val="00A9710C"/>
    <w:rsid w:val="00AE3E37"/>
    <w:rsid w:val="00B21A57"/>
    <w:rsid w:val="00B27335"/>
    <w:rsid w:val="00BD1CC8"/>
    <w:rsid w:val="00C051ED"/>
    <w:rsid w:val="00C33602"/>
    <w:rsid w:val="00CD6F55"/>
    <w:rsid w:val="00D62425"/>
    <w:rsid w:val="00DA1AB7"/>
    <w:rsid w:val="00DE3104"/>
    <w:rsid w:val="00EF09BC"/>
    <w:rsid w:val="00F03939"/>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E12E61"/>
  <w15:docId w15:val="{47CDBF75-30F4-4287-B022-BC6390A8E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character" w:customStyle="1" w:styleId="fntk058">
    <w:name w:val="fnt_k058"/>
    <w:basedOn w:val="a0"/>
    <w:rsid w:val="008F7485"/>
    <w:rPr>
      <w:rFonts w:ascii="굴림" w:hAnsi="굴림" w:hint="default"/>
      <w:color w:val="000000"/>
      <w:sz w:val="20"/>
      <w:szCs w:val="20"/>
    </w:rPr>
  </w:style>
  <w:style w:type="paragraph" w:customStyle="1" w:styleId="Default">
    <w:name w:val="Default"/>
    <w:rsid w:val="00132ACF"/>
    <w:pPr>
      <w:autoSpaceDE w:val="0"/>
      <w:autoSpaceDN w:val="0"/>
      <w:adjustRightInd w:val="0"/>
    </w:pPr>
    <w:rPr>
      <w:rFonts w:ascii="Candara" w:hAnsi="Candara" w:cs="Candara"/>
      <w:color w:val="000000"/>
      <w:sz w:val="24"/>
      <w:szCs w:val="24"/>
    </w:rPr>
  </w:style>
  <w:style w:type="paragraph" w:customStyle="1" w:styleId="a9">
    <w:name w:val="바탕글"/>
    <w:basedOn w:val="a"/>
    <w:rsid w:val="00DA1AB7"/>
    <w:pPr>
      <w:wordWrap w:val="0"/>
      <w:autoSpaceDE w:val="0"/>
      <w:autoSpaceDN w:val="0"/>
      <w:snapToGrid w:val="0"/>
      <w:spacing w:line="384" w:lineRule="auto"/>
      <w:jc w:val="both"/>
      <w:textAlignment w:val="baseline"/>
    </w:pPr>
    <w:rPr>
      <w:rFonts w:ascii="바탕" w:eastAsia="굴림" w:hAnsi="굴림" w:cs="굴림"/>
      <w:color w:val="000000"/>
      <w:sz w:val="20"/>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60141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40010243">
      <w:bodyDiv w:val="1"/>
      <w:marLeft w:val="0"/>
      <w:marRight w:val="0"/>
      <w:marTop w:val="0"/>
      <w:marBottom w:val="0"/>
      <w:divBdr>
        <w:top w:val="none" w:sz="0" w:space="0" w:color="auto"/>
        <w:left w:val="none" w:sz="0" w:space="0" w:color="auto"/>
        <w:bottom w:val="none" w:sz="0" w:space="0" w:color="auto"/>
        <w:right w:val="none" w:sz="0" w:space="0" w:color="auto"/>
      </w:divBdr>
    </w:div>
    <w:div w:id="21109329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ew218@ajou.ac.kr%20"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307</TotalTime>
  <Pages>1</Pages>
  <Words>613</Words>
  <Characters>3499</Characters>
  <Application>Microsoft Office Word</Application>
  <DocSecurity>0</DocSecurity>
  <Lines>29</Lines>
  <Paragraphs>8</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PC-1</cp:lastModifiedBy>
  <cp:revision>9</cp:revision>
  <dcterms:created xsi:type="dcterms:W3CDTF">2017-07-04T02:17:00Z</dcterms:created>
  <dcterms:modified xsi:type="dcterms:W3CDTF">2018-05-15T04:14:00Z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