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68372" w14:textId="77777777" w:rsidR="00AE3E37" w:rsidRDefault="000B4E92" w:rsidP="00494130">
      <w:pPr>
        <w:pStyle w:val="1"/>
        <w:spacing w:before="170"/>
        <w:ind w:left="0"/>
      </w:pPr>
      <w:r w:rsidRPr="000B4E92">
        <w:rPr>
          <w:color w:val="337AB7"/>
        </w:rPr>
        <w:t>Analyzing HBV infection risk arising from PIs among Taiwan’s HCWs</w:t>
      </w:r>
    </w:p>
    <w:p w14:paraId="002DAABF" w14:textId="77777777" w:rsidR="000B4E92" w:rsidRPr="000B4E92" w:rsidRDefault="000B4E92" w:rsidP="000B4E92">
      <w:pPr>
        <w:pStyle w:val="a3"/>
        <w:rPr>
          <w:rFonts w:ascii="Arial"/>
        </w:rPr>
      </w:pPr>
      <w:r w:rsidRPr="000B4E92">
        <w:rPr>
          <w:rFonts w:ascii="Arial"/>
        </w:rPr>
        <w:t>Hsueh-Ching Wu, Department of Nursing, Shin Sheng Junior College of Medical Care and Management, Taoyuan, Taiwan, R.O.C.</w:t>
      </w:r>
    </w:p>
    <w:p w14:paraId="72FC1E4D" w14:textId="77777777" w:rsidR="00AE3E37" w:rsidRDefault="000B4E92" w:rsidP="000B4E92">
      <w:pPr>
        <w:pStyle w:val="a3"/>
        <w:rPr>
          <w:rFonts w:ascii="Arial"/>
          <w:sz w:val="20"/>
        </w:rPr>
      </w:pPr>
      <w:r w:rsidRPr="000B4E92">
        <w:rPr>
          <w:rFonts w:ascii="Arial"/>
        </w:rPr>
        <w:t>Huei-Ru Huang, Department of Nursing, DaYeh University, Taiwan, R.O.C.</w:t>
      </w:r>
    </w:p>
    <w:p w14:paraId="61B34400" w14:textId="77546059" w:rsidR="00AE3E37" w:rsidRDefault="00C702B2" w:rsidP="00C702B2">
      <w:pPr>
        <w:pStyle w:val="a3"/>
        <w:spacing w:before="3"/>
        <w:rPr>
          <w:rFonts w:ascii="Arial"/>
        </w:rPr>
      </w:pPr>
      <w:r w:rsidRPr="00C702B2">
        <w:rPr>
          <w:rFonts w:ascii="Arial"/>
        </w:rPr>
        <w:t>Judith Shu-Chu Shiao, Department of Nursing, College of Medicine, National Taiwan University (NTU) &amp; NTU Hospital, Taiwan</w:t>
      </w:r>
      <w:r w:rsidR="00E82487">
        <w:rPr>
          <w:rFonts w:ascii="Arial"/>
        </w:rPr>
        <w:t>, ROC</w:t>
      </w:r>
      <w:r w:rsidRPr="00C702B2">
        <w:rPr>
          <w:rFonts w:ascii="Arial"/>
        </w:rPr>
        <w:t>.</w:t>
      </w:r>
    </w:p>
    <w:p w14:paraId="7B011D35" w14:textId="74CA633A" w:rsidR="00E82487" w:rsidRDefault="00E82487" w:rsidP="00C702B2">
      <w:pPr>
        <w:pStyle w:val="a3"/>
        <w:spacing w:before="3"/>
        <w:rPr>
          <w:rFonts w:ascii="Arial"/>
        </w:rPr>
      </w:pPr>
    </w:p>
    <w:p w14:paraId="134D9458" w14:textId="77777777" w:rsidR="00E82487" w:rsidRPr="00C702B2" w:rsidRDefault="00E82487" w:rsidP="00C702B2">
      <w:pPr>
        <w:pStyle w:val="a3"/>
        <w:spacing w:before="3"/>
        <w:rPr>
          <w:rFonts w:ascii="Arial"/>
        </w:rPr>
        <w:sectPr w:rsidR="00E82487" w:rsidRPr="00C702B2">
          <w:headerReference w:type="default" r:id="rId7"/>
          <w:footerReference w:type="default" r:id="rId8"/>
          <w:type w:val="continuous"/>
          <w:pgSz w:w="11910" w:h="16840"/>
          <w:pgMar w:top="1740" w:right="600" w:bottom="840" w:left="620" w:header="541" w:footer="642" w:gutter="0"/>
          <w:cols w:space="720"/>
        </w:sectPr>
      </w:pPr>
    </w:p>
    <w:p w14:paraId="3544ACA3" w14:textId="77777777" w:rsidR="00AE3E37" w:rsidRDefault="00A9710C">
      <w:pPr>
        <w:pStyle w:val="3"/>
        <w:spacing w:before="147"/>
        <w:jc w:val="both"/>
      </w:pPr>
      <w:r>
        <w:rPr>
          <w:color w:val="BF5A14"/>
        </w:rPr>
        <w:t>Abstract</w:t>
      </w:r>
      <w:r w:rsidR="00404E5B">
        <w:rPr>
          <w:color w:val="BF5A14"/>
        </w:rPr>
        <w:t xml:space="preserve"> (300 word limit)</w:t>
      </w:r>
    </w:p>
    <w:p w14:paraId="269FADA0" w14:textId="77777777" w:rsidR="004E4E5C" w:rsidRPr="004E4E5C" w:rsidRDefault="004E4E5C" w:rsidP="004E4E5C">
      <w:pPr>
        <w:pStyle w:val="3"/>
        <w:spacing w:before="74"/>
        <w:rPr>
          <w:rFonts w:ascii="Tw Cen MT" w:eastAsia="Tw Cen MT" w:hAnsi="Tw Cen MT" w:cs="Tw Cen MT"/>
          <w:b w:val="0"/>
          <w:bCs w:val="0"/>
          <w:sz w:val="18"/>
          <w:szCs w:val="18"/>
        </w:rPr>
      </w:pPr>
      <w:r w:rsidRPr="004E4E5C">
        <w:rPr>
          <w:rFonts w:ascii="Tw Cen MT" w:eastAsia="Tw Cen MT" w:hAnsi="Tw Cen MT" w:cs="Tw Cen MT"/>
          <w:b w:val="0"/>
          <w:bCs w:val="0"/>
          <w:sz w:val="18"/>
          <w:szCs w:val="18"/>
        </w:rPr>
        <w:t xml:space="preserve">Background and aim: Taiwan is a high endemic area for hepatitis B virus (HBV), with approximately 17% of the general public was seropositive for HBV.  </w:t>
      </w:r>
      <w:r w:rsidRPr="004E4E5C">
        <w:rPr>
          <w:rFonts w:ascii="Tw Cen MT" w:eastAsia="Tw Cen MT" w:hAnsi="Tw Cen MT" w:cs="Tw Cen MT"/>
          <w:b w:val="0"/>
          <w:bCs w:val="0"/>
          <w:sz w:val="18"/>
          <w:szCs w:val="18"/>
        </w:rPr>
        <w:t>Because of</w:t>
      </w:r>
      <w:r w:rsidRPr="004E4E5C">
        <w:rPr>
          <w:rFonts w:ascii="Tw Cen MT" w:eastAsia="Tw Cen MT" w:hAnsi="Tw Cen MT" w:cs="Tw Cen MT"/>
          <w:b w:val="0"/>
          <w:bCs w:val="0"/>
          <w:sz w:val="18"/>
          <w:szCs w:val="18"/>
        </w:rPr>
        <w:t xml:space="preserve"> the high population prevalence of blood-borne viruses such as HBV in Taiwan, healthcare workers (HCWs) in this country may be facing higher seroconversion occupational risks stemming from percutaneous injuries (PIs) compared to other developed countries. The aims of this study were to calculate the incidence rate of HBV high infection risk PIs for Taiwan’s HCWs and to estimate the annual number of HBV seroconversion after high infection risk PIs for those HCWs. </w:t>
      </w:r>
    </w:p>
    <w:p w14:paraId="56D4A6BE" w14:textId="77777777" w:rsidR="004E4E5C" w:rsidRPr="004E4E5C" w:rsidRDefault="004E4E5C" w:rsidP="004E4E5C">
      <w:pPr>
        <w:pStyle w:val="3"/>
        <w:spacing w:before="74"/>
        <w:rPr>
          <w:rFonts w:ascii="Tw Cen MT" w:eastAsia="Tw Cen MT" w:hAnsi="Tw Cen MT" w:cs="Tw Cen MT"/>
          <w:b w:val="0"/>
          <w:bCs w:val="0"/>
          <w:sz w:val="18"/>
          <w:szCs w:val="18"/>
        </w:rPr>
      </w:pPr>
      <w:r w:rsidRPr="004E4E5C">
        <w:rPr>
          <w:rFonts w:ascii="Tw Cen MT" w:eastAsia="Tw Cen MT" w:hAnsi="Tw Cen MT" w:cs="Tw Cen MT"/>
          <w:b w:val="0"/>
          <w:bCs w:val="0"/>
          <w:sz w:val="18"/>
          <w:szCs w:val="18"/>
        </w:rPr>
        <w:t>Methods: This analysis includes data from Chinese EPINet between 1 January 2012 and 31 December 2012.  Incidence rate was calculated by using the number of the full-time equivalent HCWs in the hospitals which contributed reporting of the HBV high infection risk PIs. The national HCWs number of seroconversion after HBV high infection risk PIs was estimated by incidence rate, the probabilities (12%~31%) of seroconversion in literature review and the numbers of national HCWs in Taiwan.</w:t>
      </w:r>
    </w:p>
    <w:p w14:paraId="370DBC23" w14:textId="77777777" w:rsidR="004E4E5C" w:rsidRPr="004E4E5C" w:rsidRDefault="004E4E5C" w:rsidP="004E4E5C">
      <w:pPr>
        <w:pStyle w:val="3"/>
        <w:spacing w:before="74"/>
        <w:rPr>
          <w:rFonts w:ascii="Tw Cen MT" w:eastAsia="Tw Cen MT" w:hAnsi="Tw Cen MT" w:cs="Tw Cen MT"/>
          <w:b w:val="0"/>
          <w:bCs w:val="0"/>
          <w:sz w:val="18"/>
          <w:szCs w:val="18"/>
        </w:rPr>
      </w:pPr>
      <w:r w:rsidRPr="004E4E5C">
        <w:rPr>
          <w:rFonts w:ascii="Tw Cen MT" w:eastAsia="Tw Cen MT" w:hAnsi="Tw Cen MT" w:cs="Tw Cen MT"/>
          <w:b w:val="0"/>
          <w:bCs w:val="0"/>
          <w:sz w:val="18"/>
          <w:szCs w:val="18"/>
        </w:rPr>
        <w:t>Results:  1.The incidence rate of HBV high infection risk PIs is 0.44/100 FTEs for Taiwan’s HCWs. 2.The annual number HBV seroconversion is estimated to be 11~28 for Taiwan’s HCWs. If consider the underreporting rate, the number may been estimated to be 52~133.</w:t>
      </w:r>
    </w:p>
    <w:p w14:paraId="24F760E2" w14:textId="1E3E7B47" w:rsidR="005973B9" w:rsidRDefault="004E4E5C" w:rsidP="00E82487">
      <w:pPr>
        <w:pStyle w:val="3"/>
        <w:spacing w:before="240" w:after="120"/>
        <w:ind w:left="102"/>
        <w:rPr>
          <w:b w:val="0"/>
        </w:rPr>
      </w:pPr>
      <w:r w:rsidRPr="004E4E5C">
        <w:rPr>
          <w:rFonts w:ascii="Tw Cen MT" w:eastAsia="Tw Cen MT" w:hAnsi="Tw Cen MT" w:cs="Tw Cen MT"/>
          <w:b w:val="0"/>
          <w:bCs w:val="0"/>
          <w:sz w:val="18"/>
          <w:szCs w:val="18"/>
        </w:rPr>
        <w:t>Conclusions: The estimated number of HBV seroconversion is a reminder and an alert to all HCWs. It should be provided a comprehensive Hepatitis B vaccine delivery plan for all medical personnel, in particular medical personnel and support workers, to enhance immunity and reduce occupational injuries.</w:t>
      </w:r>
      <w:r w:rsidR="00A9710C">
        <w:rPr>
          <w:b w:val="0"/>
        </w:rPr>
        <w:br w:type="column"/>
      </w:r>
      <w:r w:rsidR="005973B9">
        <w:rPr>
          <w:color w:val="BF5A14"/>
        </w:rPr>
        <w:t>Recent Publications (minimum 5)</w:t>
      </w:r>
    </w:p>
    <w:p w14:paraId="414C9398"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sz w:val="18"/>
        </w:rPr>
        <w:t xml:space="preserve">Chin, W. S., Guo, Y. L., Liao, S. C., </w:t>
      </w:r>
      <w:r w:rsidRPr="004C04E8">
        <w:rPr>
          <w:rFonts w:ascii="Calibri" w:eastAsia="Calibri" w:hAnsi="Calibri" w:cs="Calibri"/>
          <w:b/>
          <w:sz w:val="18"/>
          <w:u w:val="single"/>
        </w:rPr>
        <w:t>Wu, H. C.</w:t>
      </w:r>
      <w:r w:rsidRPr="004C04E8">
        <w:rPr>
          <w:rFonts w:ascii="Calibri" w:eastAsia="Calibri" w:hAnsi="Calibri" w:cs="Calibri"/>
          <w:sz w:val="18"/>
        </w:rPr>
        <w:t xml:space="preserve">, Kuo, C.Y., Chen, C. C., Shiao, J. S. C.. (2017). Quality of life at 6 years after occupational injury. Quality of Life Research, 27(3), 609-618. </w:t>
      </w:r>
    </w:p>
    <w:p w14:paraId="31C711BA"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sz w:val="18"/>
        </w:rPr>
        <w:t xml:space="preserve">Lin, C. L., Lin, C. P., Chen, S. W., </w:t>
      </w:r>
      <w:r w:rsidRPr="004C04E8">
        <w:rPr>
          <w:rFonts w:ascii="Calibri" w:eastAsia="Calibri" w:hAnsi="Calibri" w:cs="Calibri"/>
          <w:b/>
          <w:sz w:val="18"/>
          <w:u w:val="single"/>
        </w:rPr>
        <w:t>Wu, H. C.,</w:t>
      </w:r>
      <w:r w:rsidRPr="004C04E8">
        <w:rPr>
          <w:rFonts w:ascii="Calibri" w:eastAsia="Calibri" w:hAnsi="Calibri" w:cs="Calibri"/>
          <w:sz w:val="18"/>
        </w:rPr>
        <w:t xml:space="preserve"> Tsai, Y. S. (2016). The association between sleep duration and overweight or obesity in Taiwanese adults: A cross-sectional study. </w:t>
      </w:r>
      <w:r w:rsidRPr="004C04E8">
        <w:rPr>
          <w:rFonts w:ascii="Calibri" w:eastAsia="Calibri" w:hAnsi="Calibri" w:cs="Calibri"/>
          <w:i/>
          <w:sz w:val="18"/>
        </w:rPr>
        <w:t>Obesity Research Clinical Practice</w:t>
      </w:r>
      <w:r w:rsidRPr="004C04E8">
        <w:rPr>
          <w:rFonts w:ascii="Calibri" w:eastAsia="Calibri" w:hAnsi="Calibri" w:cs="Calibri"/>
          <w:sz w:val="18"/>
        </w:rPr>
        <w:t>. doi:10.1016/j.orcp.2016.07.005</w:t>
      </w:r>
    </w:p>
    <w:p w14:paraId="3CFFC870"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b/>
          <w:bCs/>
          <w:sz w:val="18"/>
          <w:u w:val="single"/>
        </w:rPr>
        <w:t>Wu, H. C</w:t>
      </w:r>
      <w:r w:rsidRPr="004C04E8">
        <w:rPr>
          <w:rFonts w:ascii="Calibri" w:eastAsia="Calibri" w:hAnsi="Calibri" w:cs="Calibri"/>
          <w:bCs/>
          <w:sz w:val="18"/>
        </w:rPr>
        <w:t xml:space="preserve">., Ho, J. J., Lin M. H., Chen, C. J., Guo, Y. L., Shiao, J. S. C. (2015). </w:t>
      </w:r>
      <w:r w:rsidRPr="004C04E8">
        <w:rPr>
          <w:rFonts w:ascii="Calibri" w:eastAsia="Calibri" w:hAnsi="Calibri" w:cs="Calibri"/>
          <w:bCs/>
          <w:sz w:val="18"/>
          <w:lang w:val="en-GB"/>
        </w:rPr>
        <w:t xml:space="preserve">Incidence of percutaneous injury in Taiwan healthcare workers. </w:t>
      </w:r>
      <w:r w:rsidRPr="004C04E8">
        <w:rPr>
          <w:rFonts w:ascii="Calibri" w:eastAsia="Calibri" w:hAnsi="Calibri" w:cs="Calibri"/>
          <w:bCs/>
          <w:i/>
          <w:sz w:val="18"/>
          <w:lang w:val="en-GB"/>
        </w:rPr>
        <w:t>Epidemiology and Infection</w:t>
      </w:r>
      <w:r w:rsidRPr="004C04E8">
        <w:rPr>
          <w:rFonts w:ascii="Calibri" w:eastAsia="Calibri" w:hAnsi="Calibri" w:cs="Calibri"/>
          <w:bCs/>
          <w:sz w:val="18"/>
        </w:rPr>
        <w:t>,</w:t>
      </w:r>
      <w:r w:rsidRPr="004C04E8">
        <w:rPr>
          <w:rFonts w:ascii="Calibri" w:eastAsia="Calibri" w:hAnsi="Calibri" w:cs="Calibri"/>
          <w:bCs/>
          <w:i/>
          <w:sz w:val="18"/>
        </w:rPr>
        <w:t xml:space="preserve"> 143</w:t>
      </w:r>
      <w:r w:rsidRPr="004C04E8">
        <w:rPr>
          <w:rFonts w:ascii="Calibri" w:eastAsia="Calibri" w:hAnsi="Calibri" w:cs="Calibri"/>
          <w:bCs/>
          <w:sz w:val="18"/>
        </w:rPr>
        <w:t xml:space="preserve">, 3308–3315. </w:t>
      </w:r>
    </w:p>
    <w:p w14:paraId="3BB94F8C"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sz w:val="18"/>
          <w:lang w:val="en-GB"/>
        </w:rPr>
        <w:t>Lin, C. L</w:t>
      </w:r>
      <w:r w:rsidRPr="004C04E8">
        <w:rPr>
          <w:rFonts w:ascii="Calibri" w:eastAsia="Calibri" w:hAnsi="Calibri" w:cs="Calibri"/>
          <w:b/>
          <w:sz w:val="18"/>
          <w:u w:val="single"/>
          <w:lang w:val="en-GB"/>
        </w:rPr>
        <w:t>., Wu, H. C</w:t>
      </w:r>
      <w:r w:rsidRPr="004C04E8">
        <w:rPr>
          <w:rFonts w:ascii="Calibri" w:eastAsia="Calibri" w:hAnsi="Calibri" w:cs="Calibri"/>
          <w:sz w:val="18"/>
          <w:lang w:val="en-GB"/>
        </w:rPr>
        <w:t xml:space="preserve">., Chang, M. (2014). Quality of Sleep in Community-Dwelling Seniors. </w:t>
      </w:r>
      <w:r w:rsidRPr="004C04E8">
        <w:rPr>
          <w:rFonts w:ascii="Calibri" w:eastAsia="Calibri" w:hAnsi="Calibri" w:cs="Calibri"/>
          <w:i/>
          <w:iCs/>
          <w:sz w:val="18"/>
          <w:lang w:val="en-GB"/>
        </w:rPr>
        <w:t>Leadership Nursing, 15</w:t>
      </w:r>
      <w:r w:rsidRPr="004C04E8">
        <w:rPr>
          <w:rFonts w:ascii="Calibri" w:eastAsia="Calibri" w:hAnsi="Calibri" w:cs="Calibri"/>
          <w:sz w:val="18"/>
          <w:lang w:val="en-GB"/>
        </w:rPr>
        <w:t>(4), 32-40.</w:t>
      </w:r>
    </w:p>
    <w:p w14:paraId="4F2D860D"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b/>
          <w:sz w:val="18"/>
          <w:u w:val="single"/>
        </w:rPr>
        <w:t>Wu, H. C.</w:t>
      </w:r>
      <w:r w:rsidRPr="004C04E8">
        <w:rPr>
          <w:rFonts w:ascii="Calibri" w:eastAsia="Calibri" w:hAnsi="Calibri" w:cs="Calibri"/>
          <w:sz w:val="18"/>
        </w:rPr>
        <w:t xml:space="preserve">, Chu, P. C., Shiao, J. S. C. (2014). Health Assessment for Visual Inspection Station Workers of a Photonics Enterprise-BOHS Experience. </w:t>
      </w:r>
      <w:r w:rsidRPr="004C04E8">
        <w:rPr>
          <w:rFonts w:ascii="Calibri" w:eastAsia="Calibri" w:hAnsi="Calibri" w:cs="Calibri"/>
          <w:i/>
          <w:sz w:val="18"/>
        </w:rPr>
        <w:t>Journal of Occupational Safety and Health, 22</w:t>
      </w:r>
      <w:r w:rsidRPr="004C04E8">
        <w:rPr>
          <w:rFonts w:ascii="Calibri" w:eastAsia="Calibri" w:hAnsi="Calibri" w:cs="Calibri"/>
          <w:sz w:val="18"/>
        </w:rPr>
        <w:t>(3), 289-303.</w:t>
      </w:r>
    </w:p>
    <w:p w14:paraId="207C728C"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sz w:val="18"/>
        </w:rPr>
        <w:t xml:space="preserve">Chin, W. S., Hsieh, Y. T., </w:t>
      </w:r>
      <w:r w:rsidRPr="004C04E8">
        <w:rPr>
          <w:rFonts w:ascii="Calibri" w:eastAsia="Calibri" w:hAnsi="Calibri" w:cs="Calibri"/>
          <w:b/>
          <w:sz w:val="18"/>
          <w:u w:val="single"/>
        </w:rPr>
        <w:t>Wu, H. C</w:t>
      </w:r>
      <w:r w:rsidRPr="004C04E8">
        <w:rPr>
          <w:rFonts w:ascii="Calibri" w:eastAsia="Calibri" w:hAnsi="Calibri" w:cs="Calibri"/>
          <w:sz w:val="18"/>
        </w:rPr>
        <w:t xml:space="preserve">., Guo, Y. L., Shiao, J. S. C. (2014). Factors Affecting Mental Health among Occupational Injured Workers. </w:t>
      </w:r>
      <w:r w:rsidRPr="004C04E8">
        <w:rPr>
          <w:rFonts w:ascii="Calibri" w:eastAsia="Calibri" w:hAnsi="Calibri" w:cs="Calibri"/>
          <w:i/>
          <w:sz w:val="18"/>
        </w:rPr>
        <w:t>Journal of Occupational Safety and Health, 22</w:t>
      </w:r>
      <w:r w:rsidRPr="004C04E8">
        <w:rPr>
          <w:rFonts w:ascii="Calibri" w:eastAsia="Calibri" w:hAnsi="Calibri" w:cs="Calibri"/>
          <w:sz w:val="18"/>
        </w:rPr>
        <w:t>(2), 179-190.</w:t>
      </w:r>
    </w:p>
    <w:p w14:paraId="614325D2"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b/>
          <w:sz w:val="18"/>
          <w:u w:val="single"/>
        </w:rPr>
        <w:t>Wu, H. C</w:t>
      </w:r>
      <w:r w:rsidRPr="004C04E8">
        <w:rPr>
          <w:rFonts w:ascii="Calibri" w:eastAsia="Calibri" w:hAnsi="Calibri" w:cs="Calibri"/>
          <w:sz w:val="18"/>
        </w:rPr>
        <w:t xml:space="preserve">., Guo, Y. L., Shiao, J. S. C. (2013). Needlestick Injuries among Healthcare Workers: Epidemiologic, Economic and Policy Issues. </w:t>
      </w:r>
      <w:r w:rsidRPr="004C04E8">
        <w:rPr>
          <w:rFonts w:ascii="Calibri" w:eastAsia="Calibri" w:hAnsi="Calibri" w:cs="Calibri"/>
          <w:i/>
          <w:sz w:val="18"/>
        </w:rPr>
        <w:t>Taiwan Journal of Public Health, 32</w:t>
      </w:r>
      <w:r w:rsidRPr="004C04E8">
        <w:rPr>
          <w:rFonts w:ascii="Calibri" w:eastAsia="Calibri" w:hAnsi="Calibri" w:cs="Calibri"/>
          <w:sz w:val="18"/>
        </w:rPr>
        <w:t>(5), 424-434.</w:t>
      </w:r>
    </w:p>
    <w:p w14:paraId="680ED5A2" w14:textId="77777777" w:rsidR="004C04E8" w:rsidRPr="004C04E8" w:rsidRDefault="004C04E8" w:rsidP="00E82487">
      <w:pPr>
        <w:numPr>
          <w:ilvl w:val="0"/>
          <w:numId w:val="4"/>
        </w:numPr>
        <w:tabs>
          <w:tab w:val="left" w:pos="426"/>
        </w:tabs>
        <w:ind w:right="117" w:hanging="338"/>
        <w:rPr>
          <w:rFonts w:ascii="Calibri" w:eastAsia="Calibri" w:hAnsi="Calibri" w:cs="Calibri"/>
          <w:sz w:val="18"/>
        </w:rPr>
      </w:pPr>
      <w:r w:rsidRPr="004C04E8">
        <w:rPr>
          <w:rFonts w:ascii="Calibri" w:eastAsia="Calibri" w:hAnsi="Calibri" w:cs="Calibri"/>
          <w:sz w:val="18"/>
        </w:rPr>
        <w:t xml:space="preserve">Lin, C. L., Lien, A. S. Y., </w:t>
      </w:r>
      <w:r w:rsidRPr="004C04E8">
        <w:rPr>
          <w:rFonts w:ascii="Calibri" w:eastAsia="Calibri" w:hAnsi="Calibri" w:cs="Calibri"/>
          <w:b/>
          <w:sz w:val="18"/>
          <w:u w:val="single"/>
        </w:rPr>
        <w:t>Wu, H. C</w:t>
      </w:r>
      <w:r w:rsidRPr="004C04E8">
        <w:rPr>
          <w:rFonts w:ascii="Calibri" w:eastAsia="Calibri" w:hAnsi="Calibri" w:cs="Calibri"/>
          <w:sz w:val="18"/>
        </w:rPr>
        <w:t xml:space="preserve">., Chang, M. (2013). The Quality of Sleep in Type 2 Diabetes Mellitus. </w:t>
      </w:r>
      <w:r w:rsidRPr="004C04E8">
        <w:rPr>
          <w:rFonts w:ascii="Calibri" w:eastAsia="Calibri" w:hAnsi="Calibri" w:cs="Calibri"/>
          <w:i/>
          <w:sz w:val="18"/>
        </w:rPr>
        <w:t>Formosan Journal of Medicine, 17</w:t>
      </w:r>
      <w:r w:rsidRPr="004C04E8">
        <w:rPr>
          <w:rFonts w:ascii="Calibri" w:eastAsia="Calibri" w:hAnsi="Calibri" w:cs="Calibri"/>
          <w:sz w:val="18"/>
        </w:rPr>
        <w:t>(4), 441-446.</w:t>
      </w:r>
    </w:p>
    <w:p w14:paraId="1C269AB8" w14:textId="77777777" w:rsidR="00AE3E37" w:rsidRPr="008756E6" w:rsidRDefault="00AE3E37" w:rsidP="00E82487">
      <w:pPr>
        <w:tabs>
          <w:tab w:val="left" w:pos="426"/>
        </w:tabs>
        <w:ind w:right="117" w:hanging="338"/>
      </w:pPr>
    </w:p>
    <w:p w14:paraId="100A49C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BD3553" w14:textId="77777777" w:rsidR="00AE3E37" w:rsidRDefault="00AE3E37">
      <w:pPr>
        <w:pStyle w:val="a3"/>
        <w:rPr>
          <w:rFonts w:ascii="Calibri"/>
          <w:sz w:val="20"/>
        </w:rPr>
      </w:pPr>
    </w:p>
    <w:p w14:paraId="76B3AFC7"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C0B96DC" wp14:editId="13A7794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D714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66B6498" w14:textId="7E033C52" w:rsidR="00AE3E37" w:rsidRDefault="008756E6" w:rsidP="00404E5B">
      <w:pPr>
        <w:spacing w:before="92"/>
        <w:ind w:right="4234"/>
        <w:rPr>
          <w:rFonts w:ascii="Arial"/>
        </w:rPr>
      </w:pPr>
      <w:r>
        <w:rPr>
          <w:noProof/>
        </w:rPr>
        <w:t xml:space="preserve">              </w:t>
      </w:r>
      <w:r w:rsidR="00D93847">
        <w:rPr>
          <w:noProof/>
        </w:rPr>
        <w:drawing>
          <wp:inline distT="0" distB="0" distL="0" distR="0" wp14:anchorId="1AE435F1" wp14:editId="6C7F6923">
            <wp:extent cx="647700" cy="856672"/>
            <wp:effectExtent l="0" t="0" r="0" b="635"/>
            <wp:docPr id="2" name="圖片 2" descr="C:\Users\Sophia\AppData\Local\Microsoft\Windows\INetCache\Content.Word\雪梨大學2吋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phia\AppData\Local\Microsoft\Windows\INetCache\Content.Word\雪梨大學2吋照片.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2259" cy="902381"/>
                    </a:xfrm>
                    <a:prstGeom prst="rect">
                      <a:avLst/>
                    </a:prstGeom>
                    <a:noFill/>
                    <a:ln>
                      <a:noFill/>
                    </a:ln>
                  </pic:spPr>
                </pic:pic>
              </a:graphicData>
            </a:graphic>
          </wp:inline>
        </w:drawing>
      </w:r>
    </w:p>
    <w:p w14:paraId="40FF0C70" w14:textId="77777777" w:rsidR="00D93847" w:rsidRPr="00D93847" w:rsidRDefault="00D93847" w:rsidP="00D93847">
      <w:pPr>
        <w:spacing w:before="41" w:line="154" w:lineRule="exact"/>
        <w:ind w:left="213" w:right="231"/>
        <w:jc w:val="both"/>
        <w:rPr>
          <w:rFonts w:ascii="Arial"/>
          <w:sz w:val="14"/>
        </w:rPr>
      </w:pPr>
      <w:r w:rsidRPr="00D93847">
        <w:rPr>
          <w:rFonts w:ascii="Arial"/>
          <w:sz w:val="14"/>
        </w:rPr>
        <w:t>Dr Wu has completed her PhD from National Taiwan University at 2015. She is a Assistant professor at Department of Nursing, Shin Sheng Junior College of Medical Care and Management, Taoyuan, Taiwan, R.O.C.</w:t>
      </w:r>
    </w:p>
    <w:p w14:paraId="7EFA7C27" w14:textId="77777777"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0" w:history="1">
        <w:r w:rsidR="00D93847" w:rsidRPr="00406D99">
          <w:rPr>
            <w:rStyle w:val="ac"/>
            <w:rFonts w:ascii="Arial"/>
            <w:sz w:val="14"/>
          </w:rPr>
          <w:t>whc06082002@</w:t>
        </w:r>
      </w:hyperlink>
      <w:r w:rsidR="00D93847">
        <w:rPr>
          <w:rStyle w:val="ac"/>
          <w:rFonts w:ascii="Arial"/>
          <w:sz w:val="14"/>
        </w:rPr>
        <w:t>yahoo.com.tw</w:t>
      </w:r>
    </w:p>
    <w:p w14:paraId="6A79E411"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61E71CA1" wp14:editId="7A42448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299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12F62C6" w14:textId="77777777" w:rsidR="00AE3E37" w:rsidRDefault="00AE3E37">
      <w:pPr>
        <w:pStyle w:val="a3"/>
        <w:rPr>
          <w:rFonts w:ascii="Arial"/>
          <w:sz w:val="20"/>
        </w:rPr>
      </w:pPr>
    </w:p>
    <w:p w14:paraId="71ED36C5" w14:textId="77777777" w:rsidR="00AE3E37" w:rsidRDefault="00AE3E37">
      <w:pPr>
        <w:pStyle w:val="a3"/>
        <w:rPr>
          <w:rFonts w:ascii="Arial"/>
          <w:sz w:val="20"/>
        </w:rPr>
      </w:pPr>
    </w:p>
    <w:p w14:paraId="3086D092" w14:textId="4463CED0" w:rsidR="00AE3E37" w:rsidRPr="005F24BF" w:rsidRDefault="00AE3E37" w:rsidP="005F24BF">
      <w:pPr>
        <w:spacing w:before="39"/>
        <w:rPr>
          <w:rFonts w:ascii="Minion Pro"/>
          <w:b/>
          <w:sz w:val="20"/>
        </w:rPr>
        <w:sectPr w:rsidR="00AE3E37" w:rsidRPr="005F24BF">
          <w:type w:val="continuous"/>
          <w:pgSz w:w="11910" w:h="16840"/>
          <w:pgMar w:top="1740" w:right="600" w:bottom="840" w:left="620" w:header="720" w:footer="720" w:gutter="0"/>
          <w:cols w:space="720"/>
        </w:sectPr>
      </w:pPr>
    </w:p>
    <w:p w14:paraId="49184142" w14:textId="190C4CD1" w:rsidR="000112F6" w:rsidRDefault="000112F6">
      <w:pPr>
        <w:pStyle w:val="a3"/>
        <w:spacing w:before="3"/>
        <w:rPr>
          <w:rFonts w:ascii="Minion Pro"/>
          <w:sz w:val="26"/>
        </w:rPr>
      </w:pPr>
    </w:p>
    <w:sectPr w:rsidR="000112F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445F7" w14:textId="77777777" w:rsidR="00CE446C" w:rsidRDefault="00CE446C">
      <w:r>
        <w:separator/>
      </w:r>
    </w:p>
  </w:endnote>
  <w:endnote w:type="continuationSeparator" w:id="0">
    <w:p w14:paraId="1718C30A" w14:textId="77777777" w:rsidR="00CE446C" w:rsidRDefault="00CE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C2B5C"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2EDFFCBF" wp14:editId="61EFFC3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9C50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B8E46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FFCB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D69C50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DB8E46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EAC6343" wp14:editId="4668D6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F79B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8DF7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C634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A1F79B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8DF7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EFB0D67" wp14:editId="403DF4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0B7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B071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B0D6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CA0B7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B071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01ED5" w14:textId="77777777" w:rsidR="00CE446C" w:rsidRDefault="00CE446C">
      <w:r>
        <w:separator/>
      </w:r>
    </w:p>
  </w:footnote>
  <w:footnote w:type="continuationSeparator" w:id="0">
    <w:p w14:paraId="043A1F2A" w14:textId="77777777" w:rsidR="00CE446C" w:rsidRDefault="00CE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4A900"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14:anchorId="7796E72A" wp14:editId="732F1B7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406E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6E72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3E406E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E4D2B" wp14:editId="7E2364D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47265"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05462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E4D2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BE47265"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05462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6B6EB8"/>
    <w:multiLevelType w:val="hybridMultilevel"/>
    <w:tmpl w:val="9886D7F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12F6"/>
    <w:rsid w:val="000B4E92"/>
    <w:rsid w:val="000E2911"/>
    <w:rsid w:val="001263DF"/>
    <w:rsid w:val="00292ED9"/>
    <w:rsid w:val="00404E5B"/>
    <w:rsid w:val="00414F7B"/>
    <w:rsid w:val="004355DC"/>
    <w:rsid w:val="004749B4"/>
    <w:rsid w:val="00494130"/>
    <w:rsid w:val="004B45E6"/>
    <w:rsid w:val="004C04E8"/>
    <w:rsid w:val="004E4E5C"/>
    <w:rsid w:val="004F3523"/>
    <w:rsid w:val="005973B9"/>
    <w:rsid w:val="005B3A56"/>
    <w:rsid w:val="005F24BF"/>
    <w:rsid w:val="006060CE"/>
    <w:rsid w:val="0063497F"/>
    <w:rsid w:val="00873DF0"/>
    <w:rsid w:val="008756E6"/>
    <w:rsid w:val="0097047F"/>
    <w:rsid w:val="009810F1"/>
    <w:rsid w:val="009B2D44"/>
    <w:rsid w:val="00A07E82"/>
    <w:rsid w:val="00A9710C"/>
    <w:rsid w:val="00AE3E37"/>
    <w:rsid w:val="00B21A57"/>
    <w:rsid w:val="00C33602"/>
    <w:rsid w:val="00C702B2"/>
    <w:rsid w:val="00CD6F55"/>
    <w:rsid w:val="00CE446C"/>
    <w:rsid w:val="00D93847"/>
    <w:rsid w:val="00DE3104"/>
    <w:rsid w:val="00E8248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A527F7"/>
  <w15:docId w15:val="{DE827BFD-F5BD-4717-ACA1-7803F7BB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D938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06117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3280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hc06082002@"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Sophia Wu</cp:lastModifiedBy>
  <cp:revision>5</cp:revision>
  <dcterms:created xsi:type="dcterms:W3CDTF">2018-04-07T06:31:00Z</dcterms:created>
  <dcterms:modified xsi:type="dcterms:W3CDTF">2018-04-07T06:48:00Z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