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981" w:rsidRPr="007E7981" w:rsidRDefault="007E7981" w:rsidP="007E7981">
      <w:pPr>
        <w:shd w:val="clear" w:color="auto" w:fill="FFFFFF"/>
        <w:spacing w:line="360" w:lineRule="auto"/>
        <w:jc w:val="center"/>
        <w:outlineLvl w:val="2"/>
        <w:rPr>
          <w:rFonts w:asciiTheme="majorBidi" w:hAnsiTheme="majorBidi" w:cstheme="majorBidi"/>
          <w:caps/>
          <w:color w:val="000000" w:themeColor="text1"/>
          <w:sz w:val="28"/>
          <w:szCs w:val="28"/>
          <w:lang w:val="en-US" w:eastAsia="fr-FR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val="en-US" w:eastAsia="fr-FR"/>
        </w:rPr>
        <w:t>Prevalence a</w:t>
      </w:r>
      <w:r w:rsidRPr="007E7981">
        <w:rPr>
          <w:rFonts w:asciiTheme="majorBidi" w:hAnsiTheme="majorBidi" w:cstheme="majorBidi"/>
          <w:color w:val="000000" w:themeColor="text1"/>
          <w:sz w:val="28"/>
          <w:szCs w:val="28"/>
          <w:lang w:val="en-US" w:eastAsia="fr-FR"/>
        </w:rPr>
        <w:t xml:space="preserve">nd Antibiotic Resistance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en-US" w:eastAsia="fr-FR"/>
        </w:rPr>
        <w:t>of</w:t>
      </w:r>
      <w:r w:rsidRPr="007E7981">
        <w:rPr>
          <w:rFonts w:asciiTheme="majorBidi" w:hAnsiTheme="majorBidi" w:cstheme="majorBidi"/>
          <w:color w:val="000000" w:themeColor="text1"/>
          <w:sz w:val="28"/>
          <w:szCs w:val="28"/>
          <w:lang w:val="en-US" w:eastAsia="fr-FR"/>
        </w:rPr>
        <w:t xml:space="preserve"> Staphylococci Isolated From Kolea Hospital (Algeria)</w:t>
      </w:r>
    </w:p>
    <w:p w:rsidR="00AC3BCD" w:rsidRDefault="00AC3BCD" w:rsidP="009A7E2C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9A7E2C">
        <w:rPr>
          <w:rFonts w:eastAsia="MS PGothic" w:hAnsi="Arial"/>
          <w:color w:val="000000"/>
        </w:rPr>
        <w:t xml:space="preserve">BOUKHATEM Mohamed Nadjib </w:t>
      </w:r>
      <w:r w:rsidR="009A7E2C" w:rsidRPr="009A7E2C">
        <w:rPr>
          <w:rFonts w:eastAsia="MS PGothic" w:hAnsi="Arial"/>
          <w:color w:val="000000"/>
          <w:vertAlign w:val="superscript"/>
        </w:rPr>
        <w:t>1</w:t>
      </w:r>
      <w:r w:rsidR="009A7E2C">
        <w:rPr>
          <w:rFonts w:eastAsia="MS PGothic" w:hAnsi="Arial"/>
          <w:color w:val="000000"/>
        </w:rPr>
        <w:t xml:space="preserve">, FERHAT Mohamed Amine </w:t>
      </w:r>
      <w:r w:rsidR="009A7E2C" w:rsidRPr="009A7E2C">
        <w:rPr>
          <w:rFonts w:eastAsia="MS PGothic" w:hAnsi="Arial"/>
          <w:color w:val="000000"/>
          <w:vertAlign w:val="superscript"/>
        </w:rPr>
        <w:t>2</w:t>
      </w:r>
      <w:r w:rsidR="009A7E2C">
        <w:rPr>
          <w:rFonts w:eastAsia="MS PGothic" w:hAnsi="Arial"/>
          <w:color w:val="000000"/>
        </w:rPr>
        <w:t xml:space="preserve">, KAMELI Abdelkrim </w:t>
      </w:r>
      <w:r w:rsidR="009A7E2C" w:rsidRPr="009A7E2C">
        <w:rPr>
          <w:rFonts w:eastAsia="MS PGothic" w:hAnsi="Arial"/>
          <w:color w:val="000000"/>
          <w:vertAlign w:val="superscript"/>
        </w:rPr>
        <w:t>3</w:t>
      </w:r>
    </w:p>
    <w:p w:rsidR="009A7E2C" w:rsidRDefault="009A7E2C" w:rsidP="009A7E2C">
      <w:pPr>
        <w:jc w:val="center"/>
        <w:rPr>
          <w:rFonts w:eastAsia="MS PGothic" w:hAnsi="Arial"/>
          <w:color w:val="000000"/>
        </w:rPr>
      </w:pPr>
    </w:p>
    <w:p w:rsidR="009A7E2C" w:rsidRDefault="009A7E2C" w:rsidP="009A7E2C">
      <w:pPr>
        <w:jc w:val="center"/>
        <w:rPr>
          <w:bCs/>
        </w:rPr>
      </w:pPr>
      <w:r>
        <w:rPr>
          <w:bCs/>
        </w:rPr>
        <w:t xml:space="preserve">1) </w:t>
      </w:r>
      <w:r w:rsidRPr="009A7E2C">
        <w:rPr>
          <w:bCs/>
        </w:rPr>
        <w:t xml:space="preserve"> Département de Biologie et Physiologie Cellulaire, Faculté des Sciences de la Nature et de la Vie, Université Blida 1, Blida, Algeria.</w:t>
      </w:r>
    </w:p>
    <w:p w:rsidR="009A7E2C" w:rsidRDefault="009A7E2C" w:rsidP="009A7E2C">
      <w:pPr>
        <w:jc w:val="center"/>
        <w:rPr>
          <w:bCs/>
        </w:rPr>
      </w:pPr>
      <w:r>
        <w:rPr>
          <w:bCs/>
        </w:rPr>
        <w:t>2) Département de Chimie, ENS Kouba, Alger, Algeria</w:t>
      </w:r>
    </w:p>
    <w:p w:rsidR="009A7E2C" w:rsidRPr="009A7E2C" w:rsidRDefault="009A7E2C" w:rsidP="009A7E2C">
      <w:pPr>
        <w:jc w:val="center"/>
        <w:rPr>
          <w:rFonts w:eastAsia="MS PGothic" w:hAnsi="Arial"/>
          <w:bCs/>
          <w:color w:val="000000"/>
        </w:rPr>
      </w:pPr>
      <w:r>
        <w:rPr>
          <w:bCs/>
        </w:rPr>
        <w:t>3) Département des Sciences Naturelles, ENS Kouba, Alger, Algeria.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C43FAA" w:rsidRDefault="00C43FAA" w:rsidP="00C43FAA">
      <w:pPr>
        <w:shd w:val="clear" w:color="auto" w:fill="FFFFFF"/>
        <w:spacing w:line="276" w:lineRule="auto"/>
        <w:ind w:firstLine="708"/>
        <w:jc w:val="both"/>
        <w:rPr>
          <w:rFonts w:asciiTheme="majorBidi" w:hAnsiTheme="majorBidi" w:cstheme="majorBidi"/>
          <w:color w:val="000000" w:themeColor="text1"/>
          <w:lang w:val="en-US" w:eastAsia="fr-FR"/>
        </w:rPr>
      </w:pPr>
      <w:r w:rsidRPr="00CD6B98">
        <w:rPr>
          <w:rFonts w:asciiTheme="majorBidi" w:hAnsiTheme="majorBidi" w:cstheme="majorBidi"/>
          <w:color w:val="000000" w:themeColor="text1"/>
          <w:lang w:val="en-US" w:eastAsia="fr-FR"/>
        </w:rPr>
        <w:t xml:space="preserve">The resurgence of multiple antibiotic resistances is a major public health problem, often causing therapeutic impasses. Our study was conducted at the Bacteriology Laboratory of Kolea (Tipaza, Algeria) Hospital. </w:t>
      </w:r>
    </w:p>
    <w:p w:rsidR="00C43FAA" w:rsidRDefault="00C43FAA" w:rsidP="00C43FAA">
      <w:pPr>
        <w:shd w:val="clear" w:color="auto" w:fill="FFFFFF"/>
        <w:spacing w:line="276" w:lineRule="auto"/>
        <w:jc w:val="both"/>
        <w:rPr>
          <w:rFonts w:asciiTheme="majorBidi" w:hAnsiTheme="majorBidi" w:cstheme="majorBidi"/>
          <w:color w:val="000000" w:themeColor="text1"/>
          <w:lang w:val="en-US" w:eastAsia="fr-FR"/>
        </w:rPr>
      </w:pPr>
      <w:r w:rsidRPr="00CD6B98">
        <w:rPr>
          <w:rFonts w:asciiTheme="majorBidi" w:hAnsiTheme="majorBidi" w:cstheme="majorBidi"/>
          <w:color w:val="000000" w:themeColor="text1"/>
          <w:lang w:val="en-US" w:eastAsia="fr-FR"/>
        </w:rPr>
        <w:t>The aim of this study was to determine the prevalence of staphylococci in clinical purulent, sepsis and urinary samples, and to test the sensitivity of the selected strains against a various antibiotic (ATB) discs. The identification of</w:t>
      </w:r>
      <w:r>
        <w:rPr>
          <w:rFonts w:asciiTheme="majorBidi" w:hAnsiTheme="majorBidi" w:cstheme="majorBidi"/>
          <w:color w:val="000000" w:themeColor="text1"/>
          <w:lang w:val="en-US" w:eastAsia="fr-FR"/>
        </w:rPr>
        <w:t xml:space="preserve"> </w:t>
      </w:r>
      <w:r w:rsidRPr="00CD6B98">
        <w:rPr>
          <w:rFonts w:asciiTheme="majorBidi" w:hAnsiTheme="majorBidi" w:cstheme="majorBidi"/>
          <w:i/>
          <w:iCs/>
          <w:color w:val="000000" w:themeColor="text1"/>
          <w:lang w:val="en-US" w:eastAsia="fr-FR"/>
        </w:rPr>
        <w:t>Staphylococcus</w:t>
      </w:r>
      <w:r w:rsidRPr="00CD6B98">
        <w:rPr>
          <w:rFonts w:asciiTheme="majorBidi" w:hAnsiTheme="majorBidi" w:cstheme="majorBidi"/>
          <w:color w:val="000000" w:themeColor="text1"/>
          <w:lang w:val="en-US" w:eastAsia="fr-FR"/>
        </w:rPr>
        <w:t xml:space="preserve"> strains was performed by using classic biochemistry tests. Susceptibility against ATB was determined by the agar disk diffusion method. </w:t>
      </w:r>
    </w:p>
    <w:p w:rsidR="00C43FAA" w:rsidRPr="00CD6B98" w:rsidRDefault="00C43FAA" w:rsidP="00C43FAA">
      <w:pPr>
        <w:shd w:val="clear" w:color="auto" w:fill="FFFFFF"/>
        <w:spacing w:line="276" w:lineRule="auto"/>
        <w:jc w:val="both"/>
        <w:rPr>
          <w:rFonts w:asciiTheme="majorBidi" w:hAnsiTheme="majorBidi" w:cstheme="majorBidi"/>
          <w:color w:val="000000" w:themeColor="text1"/>
          <w:lang w:val="en-US" w:eastAsia="fr-FR"/>
        </w:rPr>
      </w:pPr>
      <w:r w:rsidRPr="00CD6B98">
        <w:rPr>
          <w:rFonts w:asciiTheme="majorBidi" w:hAnsiTheme="majorBidi" w:cstheme="majorBidi"/>
          <w:color w:val="000000" w:themeColor="text1"/>
          <w:lang w:val="en-US" w:eastAsia="fr-FR"/>
        </w:rPr>
        <w:t>Among 1403 clinical samples obtained, only 61 was related to staphylococci infections (4.34%).</w:t>
      </w:r>
      <w:r w:rsidRPr="00CD6B98">
        <w:rPr>
          <w:rFonts w:asciiTheme="majorBidi" w:hAnsiTheme="majorBidi" w:cstheme="majorBidi"/>
          <w:i/>
          <w:iCs/>
          <w:color w:val="000000" w:themeColor="text1"/>
          <w:lang w:val="en-US" w:eastAsia="fr-FR"/>
        </w:rPr>
        <w:t>Staphylococcus</w:t>
      </w:r>
      <w:r w:rsidRPr="00CD6B98">
        <w:rPr>
          <w:rFonts w:asciiTheme="majorBidi" w:hAnsiTheme="majorBidi" w:cstheme="majorBidi"/>
          <w:color w:val="000000" w:themeColor="text1"/>
          <w:lang w:val="en-US" w:eastAsia="fr-FR"/>
        </w:rPr>
        <w:t> strains were found mainly in the purulent samples (60.65%). </w:t>
      </w:r>
      <w:r w:rsidRPr="00CD6B98">
        <w:rPr>
          <w:rFonts w:asciiTheme="majorBidi" w:hAnsiTheme="majorBidi" w:cstheme="majorBidi"/>
          <w:i/>
          <w:iCs/>
          <w:color w:val="000000" w:themeColor="text1"/>
          <w:lang w:val="en-US" w:eastAsia="fr-FR"/>
        </w:rPr>
        <w:t>S.aureus</w:t>
      </w:r>
      <w:r>
        <w:rPr>
          <w:rFonts w:asciiTheme="majorBidi" w:hAnsiTheme="majorBidi" w:cstheme="majorBidi"/>
          <w:i/>
          <w:iCs/>
          <w:color w:val="000000" w:themeColor="text1"/>
          <w:lang w:val="en-US" w:eastAsia="fr-FR"/>
        </w:rPr>
        <w:t xml:space="preserve"> </w:t>
      </w:r>
      <w:r w:rsidRPr="00CD6B98">
        <w:rPr>
          <w:rFonts w:asciiTheme="majorBidi" w:hAnsiTheme="majorBidi" w:cstheme="majorBidi"/>
          <w:color w:val="000000" w:themeColor="text1"/>
          <w:lang w:val="en-US" w:eastAsia="fr-FR"/>
        </w:rPr>
        <w:t>was found to be the mainly isolated strains with a rate of 61.53% while the </w:t>
      </w:r>
      <w:r w:rsidRPr="00CD6B98">
        <w:rPr>
          <w:rFonts w:asciiTheme="majorBidi" w:hAnsiTheme="majorBidi" w:cstheme="majorBidi"/>
          <w:i/>
          <w:iCs/>
          <w:color w:val="000000" w:themeColor="text1"/>
          <w:lang w:val="en-US" w:eastAsia="fr-FR"/>
        </w:rPr>
        <w:t>S.epidermidis</w:t>
      </w:r>
      <w:r>
        <w:rPr>
          <w:rFonts w:asciiTheme="majorBidi" w:hAnsiTheme="majorBidi" w:cstheme="majorBidi"/>
          <w:i/>
          <w:iCs/>
          <w:color w:val="000000" w:themeColor="text1"/>
          <w:lang w:val="en-US" w:eastAsia="fr-FR"/>
        </w:rPr>
        <w:t xml:space="preserve"> </w:t>
      </w:r>
      <w:r w:rsidRPr="00CD6B98">
        <w:rPr>
          <w:rFonts w:asciiTheme="majorBidi" w:hAnsiTheme="majorBidi" w:cstheme="majorBidi"/>
          <w:color w:val="000000" w:themeColor="text1"/>
          <w:lang w:val="en-US" w:eastAsia="fr-FR"/>
        </w:rPr>
        <w:t>strain was found predominantly in hospitalized patients (68.57%). The frequency of the overall resistance of </w:t>
      </w:r>
      <w:r w:rsidRPr="00CD6B98">
        <w:rPr>
          <w:rFonts w:asciiTheme="majorBidi" w:hAnsiTheme="majorBidi" w:cstheme="majorBidi"/>
          <w:i/>
          <w:iCs/>
          <w:color w:val="000000" w:themeColor="text1"/>
          <w:lang w:val="en-US" w:eastAsia="fr-FR"/>
        </w:rPr>
        <w:t>S.aureus</w:t>
      </w:r>
      <w:r w:rsidRPr="00CD6B98">
        <w:rPr>
          <w:rFonts w:asciiTheme="majorBidi" w:hAnsiTheme="majorBidi" w:cstheme="majorBidi"/>
          <w:color w:val="000000" w:themeColor="text1"/>
          <w:lang w:val="en-US" w:eastAsia="fr-FR"/>
        </w:rPr>
        <w:t> against penicillin G (80.6%) and gentamicin (61.53%) remains high.</w:t>
      </w:r>
      <w:r>
        <w:rPr>
          <w:rFonts w:asciiTheme="majorBidi" w:hAnsiTheme="majorBidi" w:cstheme="majorBidi"/>
          <w:color w:val="000000" w:themeColor="text1"/>
          <w:lang w:val="en-US" w:eastAsia="fr-FR"/>
        </w:rPr>
        <w:t xml:space="preserve"> </w:t>
      </w:r>
      <w:r w:rsidRPr="00CD6B98">
        <w:rPr>
          <w:rFonts w:asciiTheme="majorBidi" w:hAnsiTheme="majorBidi" w:cstheme="majorBidi"/>
          <w:color w:val="000000" w:themeColor="text1"/>
          <w:lang w:val="en-US" w:eastAsia="fr-FR"/>
        </w:rPr>
        <w:t>The multiresistant</w:t>
      </w:r>
      <w:r>
        <w:rPr>
          <w:rFonts w:asciiTheme="majorBidi" w:hAnsiTheme="majorBidi" w:cstheme="majorBidi"/>
          <w:color w:val="000000" w:themeColor="text1"/>
          <w:lang w:val="en-US" w:eastAsia="fr-FR"/>
        </w:rPr>
        <w:t xml:space="preserve"> </w:t>
      </w:r>
      <w:r w:rsidRPr="00CD6B98">
        <w:rPr>
          <w:rFonts w:asciiTheme="majorBidi" w:hAnsiTheme="majorBidi" w:cstheme="majorBidi"/>
          <w:i/>
          <w:iCs/>
          <w:color w:val="000000" w:themeColor="text1"/>
          <w:lang w:val="en-US" w:eastAsia="fr-FR"/>
        </w:rPr>
        <w:t>Staphylococcus</w:t>
      </w:r>
      <w:r>
        <w:rPr>
          <w:rFonts w:asciiTheme="majorBidi" w:hAnsiTheme="majorBidi" w:cstheme="majorBidi"/>
          <w:i/>
          <w:iCs/>
          <w:color w:val="000000" w:themeColor="text1"/>
          <w:lang w:val="en-US" w:eastAsia="fr-FR"/>
        </w:rPr>
        <w:t xml:space="preserve"> </w:t>
      </w:r>
      <w:r w:rsidRPr="00CD6B98">
        <w:rPr>
          <w:rFonts w:asciiTheme="majorBidi" w:hAnsiTheme="majorBidi" w:cstheme="majorBidi"/>
          <w:color w:val="000000" w:themeColor="text1"/>
          <w:lang w:val="en-US" w:eastAsia="fr-FR"/>
        </w:rPr>
        <w:t>has become extremely widespread, hence the need for the accomplishment of a strategy to prevent the spread of this resistance.</w:t>
      </w:r>
    </w:p>
    <w:p w:rsidR="00C43FAA" w:rsidRDefault="00C43FAA" w:rsidP="009A7E2C">
      <w:pPr>
        <w:pStyle w:val="NormalWeb"/>
        <w:spacing w:line="276" w:lineRule="auto"/>
        <w:jc w:val="both"/>
        <w:textAlignment w:val="baseline"/>
        <w:rPr>
          <w:b/>
          <w:bCs/>
          <w:color w:val="000000"/>
          <w:kern w:val="24"/>
        </w:rPr>
      </w:pPr>
    </w:p>
    <w:p w:rsidR="009A7E2C" w:rsidRPr="009A7E2C" w:rsidRDefault="009A7E2C" w:rsidP="00C43FAA">
      <w:pPr>
        <w:pStyle w:val="NormalWeb"/>
        <w:spacing w:line="276" w:lineRule="auto"/>
        <w:jc w:val="both"/>
        <w:textAlignment w:val="baseline"/>
        <w:rPr>
          <w:lang w:val="en-US"/>
        </w:rPr>
      </w:pPr>
      <w:r w:rsidRPr="009A7E2C">
        <w:rPr>
          <w:b/>
          <w:bCs/>
          <w:color w:val="000000"/>
          <w:kern w:val="24"/>
        </w:rPr>
        <w:t>Keywords:</w:t>
      </w:r>
      <w:r w:rsidRPr="009A7E2C">
        <w:rPr>
          <w:color w:val="000000"/>
          <w:kern w:val="24"/>
        </w:rPr>
        <w:t xml:space="preserve"> </w:t>
      </w:r>
      <w:r w:rsidR="00C43FAA" w:rsidRPr="00CD6B98">
        <w:rPr>
          <w:rFonts w:asciiTheme="majorBidi" w:hAnsiTheme="majorBidi" w:cstheme="majorBidi"/>
          <w:color w:val="000000" w:themeColor="text1"/>
          <w:lang w:eastAsia="fr-FR"/>
        </w:rPr>
        <w:t xml:space="preserve">Staphylococci; </w:t>
      </w:r>
      <w:r w:rsidR="00C43FAA" w:rsidRPr="00CD6B98">
        <w:rPr>
          <w:rFonts w:asciiTheme="majorBidi" w:hAnsiTheme="majorBidi" w:cstheme="majorBidi"/>
          <w:i/>
          <w:iCs/>
          <w:color w:val="000000" w:themeColor="text1"/>
          <w:lang w:eastAsia="fr-FR"/>
        </w:rPr>
        <w:t>Staphylococcus aureus</w:t>
      </w:r>
      <w:r w:rsidR="00C43FAA" w:rsidRPr="00CD6B98">
        <w:rPr>
          <w:rFonts w:asciiTheme="majorBidi" w:hAnsiTheme="majorBidi" w:cstheme="majorBidi"/>
          <w:color w:val="000000" w:themeColor="text1"/>
          <w:lang w:eastAsia="fr-FR"/>
        </w:rPr>
        <w:t>; Oxacillin; Antibiotic resistance; Disc diffusion</w:t>
      </w:r>
      <w:r w:rsidR="00C43FAA">
        <w:rPr>
          <w:rFonts w:asciiTheme="majorBidi" w:hAnsiTheme="majorBidi" w:cstheme="majorBidi"/>
          <w:color w:val="000000" w:themeColor="text1"/>
          <w:lang w:eastAsia="fr-FR"/>
        </w:rPr>
        <w:t>, Healthcare.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</w:p>
    <w:p w:rsidR="00C43FAA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</w:p>
    <w:p w:rsidR="009A7E2C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br/>
      </w:r>
      <w:r w:rsidR="00D367E3" w:rsidRPr="009A7E2C">
        <w:rPr>
          <w:b/>
          <w:bCs/>
          <w:lang w:val="en-NZ"/>
        </w:rPr>
        <w:t>Full name:</w:t>
      </w:r>
      <w:r w:rsidR="00D367E3" w:rsidRPr="008A690F">
        <w:rPr>
          <w:lang w:val="en-NZ"/>
        </w:rPr>
        <w:t xml:space="preserve"> </w:t>
      </w:r>
      <w:r w:rsidR="009A7E2C">
        <w:rPr>
          <w:lang w:val="en-NZ"/>
        </w:rPr>
        <w:t>Dr. BOUKHATEM Mohamed Nadjib</w:t>
      </w:r>
    </w:p>
    <w:p w:rsidR="00C43FAA" w:rsidRDefault="00C43FAA" w:rsidP="00AC3BCD">
      <w:pPr>
        <w:autoSpaceDE w:val="0"/>
        <w:autoSpaceDN w:val="0"/>
        <w:adjustRightInd w:val="0"/>
        <w:rPr>
          <w:lang w:val="en-NZ"/>
        </w:rPr>
      </w:pPr>
      <w:r w:rsidRPr="00C43FAA">
        <w:rPr>
          <w:b/>
          <w:bCs/>
          <w:lang w:val="en-NZ"/>
        </w:rPr>
        <w:t>Job:</w:t>
      </w:r>
      <w:r>
        <w:rPr>
          <w:lang w:val="en-NZ"/>
        </w:rPr>
        <w:t xml:space="preserve"> Associate Professor</w:t>
      </w:r>
    </w:p>
    <w:p w:rsidR="009A7E2C" w:rsidRPr="009A7E2C" w:rsidRDefault="009A7E2C" w:rsidP="009A7E2C">
      <w:pPr>
        <w:autoSpaceDE w:val="0"/>
        <w:autoSpaceDN w:val="0"/>
        <w:adjustRightInd w:val="0"/>
        <w:rPr>
          <w:lang w:val="en-NZ"/>
        </w:rPr>
      </w:pPr>
      <w:r w:rsidRPr="009A7E2C">
        <w:rPr>
          <w:b/>
          <w:bCs/>
          <w:lang w:val="fr-FR"/>
        </w:rPr>
        <w:t>Adress:</w:t>
      </w:r>
      <w:r w:rsidRPr="009A7E2C">
        <w:rPr>
          <w:lang w:val="fr-FR"/>
        </w:rPr>
        <w:t xml:space="preserve"> Département de Biologie et Physiologie Cellulaire, Faculté des Sciences de la Nature et de la Vie, Université Blida 1, Blida, Algeria.</w:t>
      </w:r>
      <w:r w:rsidR="00072E30" w:rsidRPr="009A7E2C">
        <w:rPr>
          <w:lang w:val="fr-FR"/>
        </w:rPr>
        <w:br/>
      </w:r>
      <w:r w:rsidR="00072E30" w:rsidRPr="009A7E2C">
        <w:rPr>
          <w:b/>
          <w:bCs/>
          <w:lang w:val="en-NZ"/>
        </w:rPr>
        <w:t>Contact number:</w:t>
      </w:r>
      <w:r>
        <w:rPr>
          <w:lang w:val="en-NZ"/>
        </w:rPr>
        <w:t xml:space="preserve"> +213.559146610</w:t>
      </w:r>
      <w:r w:rsidR="00072E30" w:rsidRPr="008A690F">
        <w:rPr>
          <w:lang w:val="en-NZ"/>
        </w:rPr>
        <w:br/>
      </w:r>
      <w:r w:rsidR="00AC3BCD" w:rsidRPr="009A7E2C">
        <w:rPr>
          <w:b/>
          <w:bCs/>
          <w:lang w:val="en-NZ"/>
        </w:rPr>
        <w:t>Session</w:t>
      </w:r>
      <w:r w:rsidR="00DA581F" w:rsidRPr="009A7E2C">
        <w:rPr>
          <w:b/>
          <w:bCs/>
          <w:lang w:val="en-NZ"/>
        </w:rPr>
        <w:t xml:space="preserve"> </w:t>
      </w:r>
      <w:r w:rsidR="00085B88" w:rsidRPr="009A7E2C">
        <w:rPr>
          <w:b/>
          <w:bCs/>
          <w:lang w:val="en-NZ"/>
        </w:rPr>
        <w:t>n</w:t>
      </w:r>
      <w:r w:rsidR="00AC3BCD" w:rsidRPr="009A7E2C">
        <w:rPr>
          <w:b/>
          <w:bCs/>
          <w:lang w:val="en-NZ"/>
        </w:rPr>
        <w:t>ame</w:t>
      </w:r>
      <w:r w:rsidR="00DA581F" w:rsidRPr="009A7E2C">
        <w:rPr>
          <w:b/>
          <w:bCs/>
          <w:lang w:val="en-NZ"/>
        </w:rPr>
        <w:t>/ number</w:t>
      </w:r>
      <w:r w:rsidR="00AC3BCD" w:rsidRPr="009A7E2C">
        <w:rPr>
          <w:b/>
          <w:bCs/>
          <w:lang w:val="en-NZ"/>
        </w:rPr>
        <w:t>:</w:t>
      </w:r>
      <w:r>
        <w:rPr>
          <w:lang w:val="en-NZ"/>
        </w:rPr>
        <w:t xml:space="preserve"> Healthcare</w:t>
      </w:r>
      <w:r>
        <w:rPr>
          <w:lang w:val="en-NZ"/>
        </w:rPr>
        <w:br/>
      </w:r>
      <w:r w:rsidRPr="009A7E2C">
        <w:rPr>
          <w:b/>
          <w:bCs/>
          <w:lang w:val="en-NZ"/>
        </w:rPr>
        <w:t>Category:</w:t>
      </w:r>
      <w:r w:rsidRPr="009A7E2C">
        <w:rPr>
          <w:lang w:val="en-NZ"/>
        </w:rPr>
        <w:t xml:space="preserve"> </w:t>
      </w:r>
      <w:r w:rsidR="00AC3BCD" w:rsidRPr="00C43FAA">
        <w:rPr>
          <w:b/>
          <w:bCs/>
          <w:lang w:val="en-NZ"/>
        </w:rPr>
        <w:t>Oral presentation</w:t>
      </w:r>
      <w:r w:rsidRPr="009A7E2C">
        <w:rPr>
          <w:lang w:val="en-NZ"/>
        </w:rPr>
        <w:t xml:space="preserve"> or </w:t>
      </w:r>
      <w:r w:rsidR="00AC3BCD" w:rsidRPr="009A7E2C">
        <w:rPr>
          <w:lang w:val="en-NZ"/>
        </w:rPr>
        <w:t>Poster</w:t>
      </w:r>
      <w:r w:rsidR="00085B88" w:rsidRPr="009A7E2C">
        <w:rPr>
          <w:lang w:val="en-NZ"/>
        </w:rPr>
        <w:t xml:space="preserve"> presentation</w:t>
      </w:r>
    </w:p>
    <w:p w:rsidR="009A7E2C" w:rsidRDefault="009A7E2C" w:rsidP="009A7E2C">
      <w:pPr>
        <w:autoSpaceDE w:val="0"/>
        <w:autoSpaceDN w:val="0"/>
        <w:adjustRightInd w:val="0"/>
        <w:rPr>
          <w:lang w:val="en-NZ"/>
        </w:rPr>
      </w:pPr>
      <w:r w:rsidRPr="009A7E2C">
        <w:rPr>
          <w:b/>
          <w:bCs/>
          <w:lang w:val="en-NZ"/>
        </w:rPr>
        <w:t>Occupation :</w:t>
      </w:r>
      <w:r>
        <w:rPr>
          <w:lang w:val="en-NZ"/>
        </w:rPr>
        <w:t xml:space="preserve"> Editor in Chief of International Journal of Pharmacology, Phytochemistry and Ethnomedicine (www.scipress.com)</w:t>
      </w:r>
    </w:p>
    <w:p w:rsidR="00AC3BCD" w:rsidRDefault="00DA581F" w:rsidP="009A7E2C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br/>
      </w:r>
    </w:p>
    <w:sectPr w:rsidR="00AC3BCD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3C56" w:rsidRDefault="00493C56" w:rsidP="00671A59">
      <w:r>
        <w:separator/>
      </w:r>
    </w:p>
  </w:endnote>
  <w:endnote w:type="continuationSeparator" w:id="1">
    <w:p w:rsidR="00493C56" w:rsidRDefault="00493C56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3C56" w:rsidRDefault="00493C56" w:rsidP="00671A59">
      <w:r>
        <w:separator/>
      </w:r>
    </w:p>
  </w:footnote>
  <w:footnote w:type="continuationSeparator" w:id="1">
    <w:p w:rsidR="00493C56" w:rsidRDefault="00493C56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En-tte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A43145"/>
    <w:multiLevelType w:val="hybridMultilevel"/>
    <w:tmpl w:val="CA64F90C"/>
    <w:lvl w:ilvl="0" w:tplc="C2969A26">
      <w:start w:val="1"/>
      <w:numFmt w:val="decimal"/>
      <w:lvlText w:val="%1)"/>
      <w:lvlJc w:val="left"/>
      <w:pPr>
        <w:ind w:left="1815" w:hanging="360"/>
      </w:pPr>
      <w:rPr>
        <w:rFonts w:eastAsia="Times New Roman" w:hAnsi="Times New Roman" w:hint="default"/>
        <w:b w:val="0"/>
        <w:bCs w:val="0"/>
        <w:color w:val="auto"/>
        <w:sz w:val="24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2535" w:hanging="360"/>
      </w:pPr>
    </w:lvl>
    <w:lvl w:ilvl="2" w:tplc="040C001B" w:tentative="1">
      <w:start w:val="1"/>
      <w:numFmt w:val="lowerRoman"/>
      <w:lvlText w:val="%3."/>
      <w:lvlJc w:val="right"/>
      <w:pPr>
        <w:ind w:left="3255" w:hanging="180"/>
      </w:pPr>
    </w:lvl>
    <w:lvl w:ilvl="3" w:tplc="040C000F" w:tentative="1">
      <w:start w:val="1"/>
      <w:numFmt w:val="decimal"/>
      <w:lvlText w:val="%4."/>
      <w:lvlJc w:val="left"/>
      <w:pPr>
        <w:ind w:left="3975" w:hanging="360"/>
      </w:pPr>
    </w:lvl>
    <w:lvl w:ilvl="4" w:tplc="040C0019" w:tentative="1">
      <w:start w:val="1"/>
      <w:numFmt w:val="lowerLetter"/>
      <w:lvlText w:val="%5."/>
      <w:lvlJc w:val="left"/>
      <w:pPr>
        <w:ind w:left="4695" w:hanging="360"/>
      </w:pPr>
    </w:lvl>
    <w:lvl w:ilvl="5" w:tplc="040C001B" w:tentative="1">
      <w:start w:val="1"/>
      <w:numFmt w:val="lowerRoman"/>
      <w:lvlText w:val="%6."/>
      <w:lvlJc w:val="right"/>
      <w:pPr>
        <w:ind w:left="5415" w:hanging="180"/>
      </w:pPr>
    </w:lvl>
    <w:lvl w:ilvl="6" w:tplc="040C000F" w:tentative="1">
      <w:start w:val="1"/>
      <w:numFmt w:val="decimal"/>
      <w:lvlText w:val="%7."/>
      <w:lvlJc w:val="left"/>
      <w:pPr>
        <w:ind w:left="6135" w:hanging="360"/>
      </w:pPr>
    </w:lvl>
    <w:lvl w:ilvl="7" w:tplc="040C0019" w:tentative="1">
      <w:start w:val="1"/>
      <w:numFmt w:val="lowerLetter"/>
      <w:lvlText w:val="%8."/>
      <w:lvlJc w:val="left"/>
      <w:pPr>
        <w:ind w:left="6855" w:hanging="360"/>
      </w:pPr>
    </w:lvl>
    <w:lvl w:ilvl="8" w:tplc="040C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93C56"/>
    <w:rsid w:val="004A262E"/>
    <w:rsid w:val="004A2CA1"/>
    <w:rsid w:val="004B3B30"/>
    <w:rsid w:val="00505DA1"/>
    <w:rsid w:val="005408D9"/>
    <w:rsid w:val="00555DAD"/>
    <w:rsid w:val="005971BE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46808"/>
    <w:rsid w:val="007875D1"/>
    <w:rsid w:val="00790C29"/>
    <w:rsid w:val="007E7981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A7E2C"/>
    <w:rsid w:val="009B0CCF"/>
    <w:rsid w:val="009B7F4F"/>
    <w:rsid w:val="009D3EA4"/>
    <w:rsid w:val="009E4E71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43FAA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Titre1">
    <w:name w:val="heading 1"/>
    <w:aliases w:val="title"/>
    <w:basedOn w:val="Normal"/>
    <w:next w:val="Normal"/>
    <w:link w:val="Titre1C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Titre3">
    <w:name w:val="heading 3"/>
    <w:aliases w:val="Authors"/>
    <w:basedOn w:val="Normal"/>
    <w:next w:val="Normal"/>
    <w:link w:val="Titre3C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Policepardfaut">
    <w:name w:val="Default Paragraph Font"/>
    <w:uiPriority w:val="99"/>
    <w:semiHidden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le Car"/>
    <w:link w:val="Titre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3Car">
    <w:name w:val="Titre 3 Car"/>
    <w:aliases w:val="Authors Car"/>
    <w:link w:val="Titre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Lienhypertexte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rsid w:val="007258AA"/>
    <w:pPr>
      <w:suppressAutoHyphens/>
      <w:jc w:val="center"/>
    </w:pPr>
    <w:rPr>
      <w:lang/>
    </w:rPr>
  </w:style>
  <w:style w:type="character" w:customStyle="1" w:styleId="CorpsdetexteCar">
    <w:name w:val="Corps de texte Car"/>
    <w:link w:val="Corpsdetexte"/>
    <w:uiPriority w:val="99"/>
    <w:semiHidden/>
    <w:rPr>
      <w:sz w:val="24"/>
      <w:szCs w:val="24"/>
    </w:rPr>
  </w:style>
  <w:style w:type="character" w:styleId="Marquedecommentair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205354"/>
    <w:rPr>
      <w:sz w:val="20"/>
      <w:szCs w:val="20"/>
      <w:lang/>
    </w:rPr>
  </w:style>
  <w:style w:type="character" w:customStyle="1" w:styleId="CommentaireCar">
    <w:name w:val="Commentaire Car"/>
    <w:link w:val="Commentaire"/>
    <w:uiPriority w:val="99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20535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205354"/>
    <w:rPr>
      <w:rFonts w:ascii="Tahoma" w:hAnsi="Tahoma"/>
      <w:sz w:val="16"/>
      <w:szCs w:val="16"/>
      <w:lang/>
    </w:rPr>
  </w:style>
  <w:style w:type="character" w:customStyle="1" w:styleId="TextedebullesCar">
    <w:name w:val="Texte de bulles Car"/>
    <w:link w:val="Textedebulles"/>
    <w:uiPriority w:val="99"/>
    <w:semiHidden/>
    <w:rPr>
      <w:rFonts w:ascii="Tahoma" w:hAnsi="Tahoma" w:cs="Tahoma"/>
      <w:sz w:val="16"/>
      <w:szCs w:val="16"/>
    </w:rPr>
  </w:style>
  <w:style w:type="paragraph" w:styleId="Retraitcorpsdetexte">
    <w:name w:val="Body Text Indent"/>
    <w:basedOn w:val="Normal"/>
    <w:link w:val="RetraitcorpsdetexteCar"/>
    <w:uiPriority w:val="99"/>
    <w:rsid w:val="00FC1073"/>
    <w:pPr>
      <w:spacing w:after="120"/>
      <w:ind w:left="283"/>
    </w:pPr>
    <w:rPr>
      <w:lang/>
    </w:rPr>
  </w:style>
  <w:style w:type="character" w:customStyle="1" w:styleId="RetraitcorpsdetexteCar">
    <w:name w:val="Retrait corps de texte Car"/>
    <w:link w:val="Retraitcorpsdetexte"/>
    <w:uiPriority w:val="99"/>
    <w:semiHidden/>
    <w:rPr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En-tteCar">
    <w:name w:val="En-tête Car"/>
    <w:link w:val="En-tte"/>
    <w:uiPriority w:val="99"/>
    <w:rsid w:val="00671A5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PieddepageCar">
    <w:name w:val="Pied de page Car"/>
    <w:link w:val="Pieddepage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1887</Characters>
  <Application>Microsoft Office Word</Application>
  <DocSecurity>0</DocSecurity>
  <Lines>15</Lines>
  <Paragraphs>4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2016-06-22T13:16:00Z</dcterms:created>
  <dcterms:modified xsi:type="dcterms:W3CDTF">2016-06-22T13:18:00Z</dcterms:modified>
</cp:coreProperties>
</file>