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sz w:val="20"/>
        </w:rPr>
      </w:pPr>
      <w:r>
        <w:rPr/>
        <w:pict>
          <v:group style="position:absolute;margin-left:31.200001pt;margin-top:34.549976pt;width:534.1pt;height:772.9pt;mso-position-horizontal-relative:page;mso-position-vertical-relative:page;z-index:-251728896" coordorigin="624,691" coordsize="10682,15458">
            <v:shape style="position:absolute;left:624;top:6892;width:10682;height:3663" type="#_x0000_t75" stroked="false">
              <v:imagedata r:id="rId5" o:title=""/>
            </v:shape>
            <v:line style="position:absolute" from="641,696" to="11268,696" stroked="true" strokeweight=".48pt" strokecolor="#000000">
              <v:stroke dashstyle="solid"/>
            </v:line>
            <v:line style="position:absolute" from="636,691" to="636,16149" stroked="true" strokeweight=".5pt" strokecolor="#000000">
              <v:stroke dashstyle="solid"/>
            </v:line>
            <v:line style="position:absolute" from="11272,691" to="11272,16149" stroked="true" strokeweight=".49994pt" strokecolor="#000000">
              <v:stroke dashstyle="solid"/>
            </v:line>
            <v:line style="position:absolute" from="641,16144" to="11268,16144" stroked="true" strokeweight=".48pt" strokecolor="#000000">
              <v:stroke dashstyle="solid"/>
            </v:line>
            <v:shape style="position:absolute;left:8929;top:15547;width:1685;height:392" type="#_x0000_t75" stroked="false">
              <v:imagedata r:id="rId6" o:title=""/>
            </v:shape>
            <w10:wrap type="none"/>
          </v:group>
        </w:pict>
      </w:r>
    </w:p>
    <w:p>
      <w:pPr>
        <w:pStyle w:val="BodyText"/>
        <w:spacing w:before="5"/>
        <w:rPr>
          <w:sz w:val="27"/>
        </w:rPr>
      </w:pPr>
    </w:p>
    <w:p>
      <w:pPr>
        <w:spacing w:line="360" w:lineRule="auto" w:before="74"/>
        <w:ind w:left="409" w:right="428" w:hanging="2"/>
        <w:jc w:val="center"/>
        <w:rPr>
          <w:sz w:val="64"/>
        </w:rPr>
      </w:pPr>
      <w:r>
        <w:rPr>
          <w:sz w:val="64"/>
        </w:rPr>
        <w:t>REGENERATIVE MEDICINE FOR PREMATURE OVARIAN FAILURE</w:t>
      </w:r>
    </w:p>
    <w:p>
      <w:pPr>
        <w:pStyle w:val="BodyText"/>
        <w:rPr>
          <w:sz w:val="70"/>
        </w:rPr>
      </w:pPr>
    </w:p>
    <w:p>
      <w:pPr>
        <w:pStyle w:val="BodyText"/>
        <w:rPr>
          <w:sz w:val="74"/>
        </w:rPr>
      </w:pPr>
    </w:p>
    <w:p>
      <w:pPr>
        <w:pStyle w:val="Heading1"/>
        <w:spacing w:before="1"/>
        <w:ind w:left="3375"/>
        <w:rPr>
          <w:u w:val="none"/>
        </w:rPr>
      </w:pPr>
      <w:r>
        <w:rPr>
          <w:u w:val="single"/>
        </w:rPr>
        <w:t>PRESENTING AUTHOR:</w:t>
      </w:r>
    </w:p>
    <w:p>
      <w:pPr>
        <w:spacing w:before="208"/>
        <w:ind w:left="3375" w:right="3393" w:firstLine="0"/>
        <w:jc w:val="center"/>
        <w:rPr>
          <w:sz w:val="28"/>
        </w:rPr>
      </w:pPr>
      <w:r>
        <w:rPr>
          <w:sz w:val="28"/>
        </w:rPr>
        <w:t>Dr. Kamini Patel</w:t>
      </w:r>
    </w:p>
    <w:p>
      <w:pPr>
        <w:pStyle w:val="BodyText"/>
        <w:rPr>
          <w:sz w:val="30"/>
        </w:rPr>
      </w:pPr>
    </w:p>
    <w:p>
      <w:pPr>
        <w:pStyle w:val="BodyText"/>
        <w:rPr>
          <w:sz w:val="30"/>
        </w:rPr>
      </w:pPr>
    </w:p>
    <w:p>
      <w:pPr>
        <w:pStyle w:val="BodyText"/>
        <w:rPr>
          <w:sz w:val="30"/>
        </w:rPr>
      </w:pPr>
    </w:p>
    <w:p>
      <w:pPr>
        <w:pStyle w:val="BodyText"/>
        <w:rPr>
          <w:sz w:val="30"/>
        </w:rPr>
      </w:pPr>
    </w:p>
    <w:p>
      <w:pPr>
        <w:pStyle w:val="BodyText"/>
        <w:rPr>
          <w:sz w:val="30"/>
        </w:rPr>
      </w:pPr>
    </w:p>
    <w:p>
      <w:pPr>
        <w:pStyle w:val="BodyText"/>
        <w:rPr>
          <w:sz w:val="30"/>
        </w:rPr>
      </w:pPr>
    </w:p>
    <w:p>
      <w:pPr>
        <w:pStyle w:val="BodyText"/>
        <w:spacing w:before="5"/>
        <w:rPr>
          <w:sz w:val="28"/>
        </w:rPr>
      </w:pPr>
    </w:p>
    <w:p>
      <w:pPr>
        <w:spacing w:before="0"/>
        <w:ind w:left="3369" w:right="3393" w:firstLine="0"/>
        <w:jc w:val="center"/>
        <w:rPr>
          <w:sz w:val="36"/>
        </w:rPr>
      </w:pPr>
      <w:r>
        <w:rPr>
          <w:sz w:val="36"/>
          <w:u w:val="single"/>
        </w:rPr>
        <w:t>AFFILIATION:</w:t>
      </w:r>
    </w:p>
    <w:p>
      <w:pPr>
        <w:spacing w:before="206"/>
        <w:ind w:left="3375" w:right="3392" w:firstLine="0"/>
        <w:jc w:val="center"/>
        <w:rPr>
          <w:sz w:val="28"/>
        </w:rPr>
      </w:pPr>
      <w:r>
        <w:rPr>
          <w:sz w:val="28"/>
        </w:rPr>
        <w:t>Vani IVF Centre</w:t>
      </w:r>
    </w:p>
    <w:p>
      <w:pPr>
        <w:spacing w:after="0"/>
        <w:jc w:val="center"/>
        <w:rPr>
          <w:sz w:val="28"/>
        </w:rPr>
        <w:sectPr>
          <w:type w:val="continuous"/>
          <w:pgSz w:w="11920" w:h="16850"/>
          <w:pgMar w:top="1600" w:bottom="280" w:left="620" w:right="600"/>
        </w:sectPr>
      </w:pPr>
    </w:p>
    <w:p>
      <w:pPr>
        <w:pStyle w:val="BodyText"/>
        <w:spacing w:before="64"/>
        <w:ind w:left="100"/>
      </w:pPr>
      <w:r>
        <w:rPr/>
        <w:pict>
          <v:group style="position:absolute;margin-left:31.200001pt;margin-top:34.549976pt;width:534.1pt;height:772.9pt;mso-position-horizontal-relative:page;mso-position-vertical-relative:page;z-index:-251727872" coordorigin="624,691" coordsize="10682,15458">
            <v:shape style="position:absolute;left:624;top:6832;width:10682;height:3663" type="#_x0000_t75" stroked="false">
              <v:imagedata r:id="rId5" o:title=""/>
            </v:shape>
            <v:line style="position:absolute" from="641,696" to="11268,696" stroked="true" strokeweight=".48pt" strokecolor="#000000">
              <v:stroke dashstyle="solid"/>
            </v:line>
            <v:line style="position:absolute" from="636,691" to="636,16149" stroked="true" strokeweight=".5pt" strokecolor="#000000">
              <v:stroke dashstyle="solid"/>
            </v:line>
            <v:line style="position:absolute" from="11272,691" to="11272,16149" stroked="true" strokeweight=".49994pt" strokecolor="#000000">
              <v:stroke dashstyle="solid"/>
            </v:line>
            <v:line style="position:absolute" from="641,16144" to="11268,16144" stroked="true" strokeweight=".48pt" strokecolor="#000000">
              <v:stroke dashstyle="solid"/>
            </v:line>
            <v:shape style="position:absolute;left:8929;top:15503;width:1685;height:392" type="#_x0000_t75" stroked="false">
              <v:imagedata r:id="rId6" o:title=""/>
            </v:shape>
            <w10:wrap type="none"/>
          </v:group>
        </w:pict>
      </w:r>
      <w:r>
        <w:rPr/>
        <w:t>ABSTRACT:</w:t>
      </w:r>
    </w:p>
    <w:p>
      <w:pPr>
        <w:pStyle w:val="BodyText"/>
        <w:rPr>
          <w:sz w:val="26"/>
        </w:rPr>
      </w:pPr>
    </w:p>
    <w:p>
      <w:pPr>
        <w:pStyle w:val="BodyText"/>
        <w:spacing w:before="3"/>
        <w:rPr>
          <w:sz w:val="22"/>
        </w:rPr>
      </w:pPr>
    </w:p>
    <w:p>
      <w:pPr>
        <w:pStyle w:val="BodyText"/>
        <w:spacing w:line="360" w:lineRule="auto"/>
        <w:ind w:left="100" w:right="115"/>
        <w:jc w:val="both"/>
      </w:pPr>
      <w:r>
        <w:rPr/>
        <w:t>Premature Ovarian Failure (POF) is estimated to occur in about 1% of the population with ethnic variations. It differs from the women having age related menopause in many ways. Firstly, they suffer from concurrent conditions depicting the early loss of ovarian function. Secondly, there is a possibility of their ovarian function recovery. They have faced many years of life without endogenous estrogen exposure. Ovarian hormone production and folliculogenesis can be restored by proper hormone treatment and intraovarian injection of mesenchymal stem cell. Stem cells has the capacity to divide (self-replicate) and differentiate into multiple cell types.</w:t>
      </w:r>
    </w:p>
    <w:p>
      <w:pPr>
        <w:pStyle w:val="BodyText"/>
        <w:spacing w:before="1"/>
        <w:rPr>
          <w:sz w:val="36"/>
        </w:rPr>
      </w:pPr>
    </w:p>
    <w:p>
      <w:pPr>
        <w:pStyle w:val="BodyText"/>
        <w:spacing w:line="360" w:lineRule="auto"/>
        <w:ind w:left="100" w:right="110"/>
        <w:jc w:val="both"/>
      </w:pPr>
      <w:r>
        <w:rPr/>
        <w:t>Rich source of mesenchymal stem cells is the bone marrow. For this treatment bone marrow is extracted and the mesenchymal stem cells are separated through sepax machine (Sepax 2 S-100, </w:t>
      </w:r>
      <w:r>
        <w:rPr>
          <w:i/>
        </w:rPr>
        <w:t>Biosafe</w:t>
      </w:r>
      <w:r>
        <w:rPr/>
        <w:t>). The Sepax 2 S- 100 is a mobile, closed capability system that efficiently processes umbilical cord blood, bone marrow, peripheral blood or other blood derivatives, as permitted by applicable regulatory requirements. The fundamental scientific technology relies on a separation chamber that provides both separation through rotation of the syringe chamber (centrifugation) and component transfer through displacement of the syringe piston. An optical sensor measures the light absorbency of the separated components and manages the flow direction of each of them in the correct output container. After separation done by Sepax, the stem cells are introduced by two ways to the patients, one by Intravenous route and second by laproscopy guided ovarian drilling.</w:t>
      </w:r>
    </w:p>
    <w:p>
      <w:pPr>
        <w:pStyle w:val="BodyText"/>
        <w:spacing w:line="360" w:lineRule="auto" w:before="3"/>
        <w:ind w:left="100" w:right="117"/>
        <w:jc w:val="both"/>
      </w:pPr>
      <w:r>
        <w:rPr/>
        <w:t>The main conditions to take care for stem cell therapy to give any patient is to choose wisely. Stem cell therapy to work it is important to have a very tight inclusive and exclusive criteria. Inclusive criteria include patients with idiopathic cause for POF. Exclusive criteria include the patients with the family history of any type of cancer, POF diagnosed with known genetic cause and menopausal women.  This study discusses   the inclusive and exclusive criteria in detail to benefit the maximum number of patients with</w:t>
      </w:r>
      <w:r>
        <w:rPr>
          <w:spacing w:val="-12"/>
        </w:rPr>
        <w:t> </w:t>
      </w:r>
      <w:r>
        <w:rPr/>
        <w:t>POF.</w:t>
      </w:r>
    </w:p>
    <w:p>
      <w:pPr>
        <w:pStyle w:val="BodyText"/>
        <w:rPr>
          <w:sz w:val="26"/>
        </w:rPr>
      </w:pPr>
    </w:p>
    <w:p>
      <w:pPr>
        <w:pStyle w:val="BodyText"/>
        <w:rPr>
          <w:sz w:val="26"/>
        </w:rPr>
      </w:pPr>
    </w:p>
    <w:p>
      <w:pPr>
        <w:pStyle w:val="BodyText"/>
        <w:spacing w:line="360" w:lineRule="auto" w:before="230"/>
        <w:ind w:left="100" w:right="111"/>
        <w:jc w:val="both"/>
      </w:pPr>
      <w:r>
        <w:rPr/>
        <w:t>All the parameters mentioned in ICMR for undertaking stem cell therapy have been taken care. This paper discusses two cases of premature ovarian failure having positive results through regenerative medicine. This study contributes in increasing the pile of evidence for POF treatment through Stem Cell</w:t>
      </w:r>
      <w:r>
        <w:rPr>
          <w:spacing w:val="-19"/>
        </w:rPr>
        <w:t> </w:t>
      </w:r>
      <w:r>
        <w:rPr/>
        <w:t>Therapy.</w:t>
      </w:r>
    </w:p>
    <w:sectPr>
      <w:pgSz w:w="11920" w:h="16850"/>
      <w:pgMar w:top="1460" w:bottom="280" w:left="62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en-US"/>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en-US"/>
    </w:rPr>
  </w:style>
  <w:style w:styleId="Heading1" w:type="paragraph">
    <w:name w:val="Heading 1"/>
    <w:basedOn w:val="Normal"/>
    <w:uiPriority w:val="1"/>
    <w:qFormat/>
    <w:pPr>
      <w:ind w:left="3369" w:right="3393"/>
      <w:jc w:val="center"/>
      <w:outlineLvl w:val="1"/>
    </w:pPr>
    <w:rPr>
      <w:rFonts w:ascii="Times New Roman" w:hAnsi="Times New Roman" w:eastAsia="Times New Roman" w:cs="Times New Roman"/>
      <w:sz w:val="36"/>
      <w:szCs w:val="36"/>
      <w:u w:val="single" w:color="000000"/>
      <w:lang w:val="en-US" w:eastAsia="en-US" w:bidi="en-US"/>
    </w:rPr>
  </w:style>
  <w:style w:styleId="ListParagraph" w:type="paragraph">
    <w:name w:val="List Paragraph"/>
    <w:basedOn w:val="Normal"/>
    <w:uiPriority w:val="1"/>
    <w:qFormat/>
    <w:pPr/>
    <w:rPr>
      <w:lang w:val="en-US" w:eastAsia="en-US" w:bidi="en-US"/>
    </w:rPr>
  </w:style>
  <w:style w:styleId="TableParagraph" w:type="paragraph">
    <w:name w:val="Table Paragraph"/>
    <w:basedOn w:val="Normal"/>
    <w:uiPriority w:val="1"/>
    <w:qFormat/>
    <w:pPr/>
    <w:rPr>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dcterms:created xsi:type="dcterms:W3CDTF">2019-12-17T05:45:29Z</dcterms:created>
  <dcterms:modified xsi:type="dcterms:W3CDTF">2019-12-17T05:45:29Z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2019-11-25T00:00:00Z</vt:filetime>
  </property>
  <property fmtid="{D5CDD505-2E9C-101B-9397-08002B2CF9AE}" pid="3" name="Creator">
    <vt:lpwstr>Microsoft® Word 2016</vt:lpwstr>
  </property>
  <property fmtid="{D5CDD505-2E9C-101B-9397-08002B2CF9AE}" pid="4" name="LastSaved">
    <vt:filetime>2019-12-17T00:00:00Z</vt:filetime>
  </property>
</Properties>
</file>