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A6F" w:rsidRDefault="00FE5A6F" w:rsidP="00FE5A6F">
      <w:pPr>
        <w:spacing w:after="240" w:line="48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ABSTRACT</w:t>
      </w:r>
    </w:p>
    <w:p w:rsidR="00FE5A6F" w:rsidRDefault="00FE5A6F" w:rsidP="00FE5A6F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Background: </w:t>
      </w:r>
      <w:proofErr w:type="spellStart"/>
      <w:r>
        <w:rPr>
          <w:rFonts w:ascii="Times New Roman" w:hAnsi="Times New Roman" w:cs="Times New Roman"/>
          <w:sz w:val="24"/>
          <w:szCs w:val="24"/>
        </w:rPr>
        <w:t>Valvular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heart diseases (VHD) are </w:t>
      </w:r>
      <w:r>
        <w:rPr>
          <w:rFonts w:ascii="Times New Roman" w:hAnsi="Times New Roman" w:cs="Times New Roman"/>
          <w:noProof/>
          <w:sz w:val="24"/>
          <w:szCs w:val="24"/>
        </w:rPr>
        <w:t>an important</w:t>
      </w:r>
      <w:r>
        <w:rPr>
          <w:rFonts w:ascii="Times New Roman" w:hAnsi="Times New Roman" w:cs="Times New Roman"/>
          <w:sz w:val="24"/>
          <w:szCs w:val="24"/>
        </w:rPr>
        <w:t xml:space="preserve"> cause of mortality and morbidity globally with rheumatic heart disease contributing to the major burden in India. Management of progressive VHD requires mechanical or </w:t>
      </w:r>
      <w:proofErr w:type="spellStart"/>
      <w:r>
        <w:rPr>
          <w:rFonts w:ascii="Times New Roman" w:hAnsi="Times New Roman" w:cs="Times New Roman"/>
          <w:sz w:val="24"/>
          <w:szCs w:val="24"/>
        </w:rPr>
        <w:t>bioprosthetic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replacement of valves. Mechanical valve replacement requires lifelong anticoagulation which carries the risk of serious bleeding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thromboembolic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events unless INR is maintained within the narrow therapeutic range. Effectively managing the determinants of INR control like patient education, drug- adherence, lifestyle habits, drug and food interactions and </w:t>
      </w:r>
      <w:r>
        <w:rPr>
          <w:rFonts w:ascii="Times New Roman" w:hAnsi="Times New Roman" w:cs="Times New Roman"/>
          <w:noProof/>
          <w:sz w:val="24"/>
          <w:szCs w:val="24"/>
        </w:rPr>
        <w:t>frequency</w:t>
      </w:r>
      <w:r>
        <w:rPr>
          <w:rFonts w:ascii="Times New Roman" w:hAnsi="Times New Roman" w:cs="Times New Roman"/>
          <w:sz w:val="24"/>
          <w:szCs w:val="24"/>
        </w:rPr>
        <w:t xml:space="preserve"> of INR monitoring can help improve patient outcome.</w:t>
      </w:r>
    </w:p>
    <w:p w:rsidR="00FE5A6F" w:rsidRDefault="00FE5A6F" w:rsidP="00FE5A6F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Aim: </w:t>
      </w:r>
      <w:r>
        <w:rPr>
          <w:rFonts w:ascii="Times New Roman" w:hAnsi="Times New Roman" w:cs="Times New Roman"/>
          <w:sz w:val="24"/>
          <w:szCs w:val="24"/>
        </w:rPr>
        <w:t xml:space="preserve">To assess the effect of </w:t>
      </w:r>
      <w:r>
        <w:rPr>
          <w:rFonts w:ascii="Times New Roman" w:hAnsi="Times New Roman" w:cs="Times New Roman"/>
          <w:noProof/>
          <w:sz w:val="24"/>
          <w:szCs w:val="24"/>
        </w:rPr>
        <w:t>structured</w:t>
      </w:r>
      <w:r>
        <w:rPr>
          <w:rFonts w:ascii="Times New Roman" w:hAnsi="Times New Roman" w:cs="Times New Roman"/>
          <w:sz w:val="24"/>
          <w:szCs w:val="24"/>
        </w:rPr>
        <w:t xml:space="preserve"> patient education programme on knowledge regarding anticoagulation therapy and INR Control among patients undergoing mechanical valve replacement at AIIMS, New Delhi. </w:t>
      </w:r>
    </w:p>
    <w:p w:rsidR="00FE5A6F" w:rsidRDefault="00FE5A6F" w:rsidP="00FE5A6F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Materials and methods: </w:t>
      </w:r>
      <w:r>
        <w:rPr>
          <w:rFonts w:ascii="Times New Roman" w:hAnsi="Times New Roman" w:cs="Times New Roman"/>
          <w:sz w:val="24"/>
          <w:szCs w:val="24"/>
        </w:rPr>
        <w:t xml:space="preserve">This quasi-experimental study was conducted among 60 patients undergoing valve replacement surgery admitted to </w:t>
      </w:r>
      <w:r>
        <w:rPr>
          <w:rFonts w:ascii="Times New Roman" w:hAnsi="Times New Roman" w:cs="Times New Roman"/>
          <w:noProof/>
          <w:sz w:val="24"/>
          <w:szCs w:val="24"/>
        </w:rPr>
        <w:t>cardiac</w:t>
      </w:r>
      <w:r>
        <w:rPr>
          <w:rFonts w:ascii="Times New Roman" w:hAnsi="Times New Roman" w:cs="Times New Roman"/>
          <w:sz w:val="24"/>
          <w:szCs w:val="24"/>
        </w:rPr>
        <w:t xml:space="preserve"> ward, AIIMS, New Delhi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Structured patient education programme was provided to the experimental group whereas </w:t>
      </w:r>
      <w:r>
        <w:rPr>
          <w:rFonts w:ascii="Times New Roman" w:hAnsi="Times New Roman" w:cs="Times New Roman"/>
          <w:noProof/>
          <w:sz w:val="24"/>
          <w:szCs w:val="24"/>
        </w:rPr>
        <w:t>control</w:t>
      </w:r>
      <w:r>
        <w:rPr>
          <w:rFonts w:ascii="Times New Roman" w:hAnsi="Times New Roman" w:cs="Times New Roman"/>
          <w:sz w:val="24"/>
          <w:szCs w:val="24"/>
        </w:rPr>
        <w:t xml:space="preserve"> group was provided with the routine care. The baseline knowledge of both the groups was assessed using a self-structured questionnaire preoperatively and </w:t>
      </w:r>
      <w:r>
        <w:rPr>
          <w:rFonts w:ascii="Times New Roman" w:hAnsi="Times New Roman" w:cs="Times New Roman"/>
          <w:noProof/>
          <w:sz w:val="24"/>
          <w:szCs w:val="24"/>
        </w:rPr>
        <w:t>post-intervention</w:t>
      </w:r>
      <w:r>
        <w:rPr>
          <w:rFonts w:ascii="Times New Roman" w:hAnsi="Times New Roman" w:cs="Times New Roman"/>
          <w:sz w:val="24"/>
          <w:szCs w:val="24"/>
        </w:rPr>
        <w:t xml:space="preserve"> knowledge was assessed at </w:t>
      </w:r>
      <w:r>
        <w:rPr>
          <w:rFonts w:ascii="Times New Roman" w:hAnsi="Times New Roman" w:cs="Times New Roman"/>
          <w:noProof/>
          <w:sz w:val="24"/>
          <w:szCs w:val="24"/>
        </w:rPr>
        <w:t>1-month</w:t>
      </w:r>
      <w:r>
        <w:rPr>
          <w:rFonts w:ascii="Times New Roman" w:hAnsi="Times New Roman" w:cs="Times New Roman"/>
          <w:sz w:val="24"/>
          <w:szCs w:val="24"/>
        </w:rPr>
        <w:t xml:space="preserve"> follow-up. INR values of the patients were recorded at 7 days and </w:t>
      </w:r>
      <w:r>
        <w:rPr>
          <w:rFonts w:ascii="Times New Roman" w:hAnsi="Times New Roman" w:cs="Times New Roman"/>
          <w:noProof/>
          <w:sz w:val="24"/>
          <w:szCs w:val="24"/>
        </w:rPr>
        <w:t>1-month</w:t>
      </w:r>
      <w:r>
        <w:rPr>
          <w:rFonts w:ascii="Times New Roman" w:hAnsi="Times New Roman" w:cs="Times New Roman"/>
          <w:sz w:val="24"/>
          <w:szCs w:val="24"/>
        </w:rPr>
        <w:t xml:space="preserve"> follow-up.</w:t>
      </w:r>
    </w:p>
    <w:p w:rsidR="00FE5A6F" w:rsidRDefault="00FE5A6F" w:rsidP="00FE5A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>
        <w:rPr>
          <w:rFonts w:ascii="Times New Roman" w:hAnsi="Times New Roman" w:cs="Times New Roman"/>
          <w:sz w:val="24"/>
          <w:szCs w:val="24"/>
        </w:rPr>
        <w:t xml:space="preserve">Data was analyzed using descriptive and inferential statistics. Majority of the patients in both the groups (87 versus 83.3%) had poor knowledge regarding anticoagulation therapy at baseline. Median Knowledge score of patients improved significantly after </w:t>
      </w:r>
      <w:r>
        <w:rPr>
          <w:rFonts w:ascii="Times New Roman" w:hAnsi="Times New Roman" w:cs="Times New Roman"/>
          <w:noProof/>
          <w:sz w:val="24"/>
          <w:szCs w:val="24"/>
        </w:rPr>
        <w:t>structured</w:t>
      </w:r>
      <w:r>
        <w:rPr>
          <w:rFonts w:ascii="Times New Roman" w:hAnsi="Times New Roman" w:cs="Times New Roman"/>
          <w:sz w:val="24"/>
          <w:szCs w:val="24"/>
        </w:rPr>
        <w:t xml:space="preserve"> patient education programme from 6 (min-0</w:t>
      </w:r>
      <w:proofErr w:type="gramStart"/>
      <w:r>
        <w:rPr>
          <w:rFonts w:ascii="Times New Roman" w:hAnsi="Times New Roman" w:cs="Times New Roman"/>
          <w:sz w:val="24"/>
          <w:szCs w:val="24"/>
        </w:rPr>
        <w:t>,max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.-13) to 19 (min-13,max.-23) with p&lt;0.05. The proportion of patients within </w:t>
      </w:r>
      <w:r>
        <w:rPr>
          <w:rFonts w:ascii="Times New Roman" w:hAnsi="Times New Roman" w:cs="Times New Roman"/>
          <w:noProof/>
          <w:sz w:val="24"/>
          <w:szCs w:val="24"/>
        </w:rPr>
        <w:t>therapeutic</w:t>
      </w:r>
      <w:r>
        <w:rPr>
          <w:rFonts w:ascii="Times New Roman" w:hAnsi="Times New Roman" w:cs="Times New Roman"/>
          <w:sz w:val="24"/>
          <w:szCs w:val="24"/>
        </w:rPr>
        <w:t xml:space="preserve"> range of INR in the </w:t>
      </w:r>
      <w:r>
        <w:rPr>
          <w:rFonts w:ascii="Times New Roman" w:hAnsi="Times New Roman" w:cs="Times New Roman"/>
          <w:noProof/>
          <w:sz w:val="24"/>
          <w:szCs w:val="24"/>
        </w:rPr>
        <w:t>experimental</w:t>
      </w:r>
      <w:r>
        <w:rPr>
          <w:rFonts w:ascii="Times New Roman" w:hAnsi="Times New Roman" w:cs="Times New Roman"/>
          <w:sz w:val="24"/>
          <w:szCs w:val="24"/>
        </w:rPr>
        <w:t xml:space="preserve"> group were higher (23.3%) at </w:t>
      </w:r>
      <w:r>
        <w:rPr>
          <w:rFonts w:ascii="Times New Roman" w:hAnsi="Times New Roman" w:cs="Times New Roman"/>
          <w:noProof/>
          <w:sz w:val="24"/>
          <w:szCs w:val="24"/>
        </w:rPr>
        <w:t>1-month</w:t>
      </w:r>
      <w:r>
        <w:rPr>
          <w:rFonts w:ascii="Times New Roman" w:hAnsi="Times New Roman" w:cs="Times New Roman"/>
          <w:sz w:val="24"/>
          <w:szCs w:val="24"/>
        </w:rPr>
        <w:t xml:space="preserve"> follow-up as compared to 13.7% in the </w:t>
      </w:r>
      <w:r>
        <w:rPr>
          <w:rFonts w:ascii="Times New Roman" w:hAnsi="Times New Roman" w:cs="Times New Roman"/>
          <w:noProof/>
          <w:sz w:val="24"/>
          <w:szCs w:val="24"/>
        </w:rPr>
        <w:t>control</w:t>
      </w:r>
      <w:r>
        <w:rPr>
          <w:rFonts w:ascii="Times New Roman" w:hAnsi="Times New Roman" w:cs="Times New Roman"/>
          <w:sz w:val="24"/>
          <w:szCs w:val="24"/>
        </w:rPr>
        <w:t xml:space="preserve"> group which was statistically not significant(p=0.59). </w:t>
      </w:r>
      <w:r>
        <w:rPr>
          <w:rFonts w:ascii="Times New Roman" w:hAnsi="Times New Roman" w:cs="Times New Roman"/>
          <w:noProof/>
          <w:sz w:val="24"/>
          <w:szCs w:val="24"/>
        </w:rPr>
        <w:t>Higher</w:t>
      </w:r>
      <w:r>
        <w:rPr>
          <w:rFonts w:ascii="Times New Roman" w:hAnsi="Times New Roman" w:cs="Times New Roman"/>
          <w:sz w:val="24"/>
          <w:szCs w:val="24"/>
        </w:rPr>
        <w:t xml:space="preserve"> knowledge score was associated with higher monthly income and urban residence. No statistically significant association was found between knowledge score and INR Control.</w:t>
      </w:r>
    </w:p>
    <w:p w:rsidR="00FE5A6F" w:rsidRDefault="00FE5A6F" w:rsidP="00FE5A6F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>
        <w:rPr>
          <w:rFonts w:ascii="Times New Roman" w:hAnsi="Times New Roman" w:cs="Times New Roman"/>
          <w:sz w:val="24"/>
          <w:szCs w:val="24"/>
        </w:rPr>
        <w:t xml:space="preserve"> Structured patient education programme significantly improved the knowledge of patients regarding anticoagulation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but had no significant effect on INR control. Patient education programme should be implemented in hospital settings in order to improve patient outcome.</w:t>
      </w:r>
    </w:p>
    <w:p w:rsidR="00FE5A6F" w:rsidRDefault="00FE5A6F" w:rsidP="00FE5A6F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Keyword</w:t>
      </w:r>
      <w:r>
        <w:rPr>
          <w:rFonts w:ascii="Times New Roman" w:hAnsi="Times New Roman" w:cs="Times New Roman"/>
          <w:sz w:val="24"/>
          <w:szCs w:val="24"/>
        </w:rPr>
        <w:t>s: structured patient education programme, anticoagulation knowledge, INR Control, mechanical heart valve replacement</w:t>
      </w:r>
    </w:p>
    <w:p w:rsidR="00E36168" w:rsidRDefault="00E36168"/>
    <w:sectPr w:rsidR="00E36168" w:rsidSect="00E361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characterSpacingControl w:val="doNotCompress"/>
  <w:compat/>
  <w:rsids>
    <w:rsidRoot w:val="00FE5A6F"/>
    <w:rsid w:val="006C1146"/>
    <w:rsid w:val="0096697D"/>
    <w:rsid w:val="00AC2510"/>
    <w:rsid w:val="00E36168"/>
    <w:rsid w:val="00FE5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A6F"/>
    <w:pPr>
      <w:spacing w:after="200" w:line="276" w:lineRule="auto"/>
    </w:pPr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9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2019-01-31T18:24:00Z</dcterms:created>
  <dcterms:modified xsi:type="dcterms:W3CDTF">2019-01-31T18:24:00Z</dcterms:modified>
</cp:coreProperties>
</file>