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A88" w:rsidRDefault="001B3A88" w:rsidP="001B3A88">
      <w:pPr>
        <w:pStyle w:val="NormalWeb"/>
        <w:spacing w:after="150"/>
        <w:rPr>
          <w:rFonts w:ascii="Trebuchet MS" w:hAnsi="Trebuchet MS" w:cs="Tahoma"/>
          <w:color w:val="000000"/>
        </w:rPr>
      </w:pPr>
    </w:p>
    <w:p w:rsidR="001B3A88" w:rsidRPr="00786ADC" w:rsidRDefault="001B3A88" w:rsidP="001B3A88">
      <w:pPr>
        <w:pStyle w:val="NormalWeb"/>
        <w:spacing w:after="150"/>
        <w:rPr>
          <w:b/>
          <w:bCs/>
          <w:color w:val="000000"/>
          <w:sz w:val="28"/>
          <w:szCs w:val="28"/>
        </w:rPr>
      </w:pPr>
      <w:r w:rsidRPr="00786ADC">
        <w:rPr>
          <w:b/>
          <w:bCs/>
          <w:color w:val="000000"/>
          <w:sz w:val="28"/>
          <w:szCs w:val="28"/>
        </w:rPr>
        <w:t xml:space="preserve">Title:  </w:t>
      </w:r>
      <w:r w:rsidRPr="00786ADC">
        <w:rPr>
          <w:sz w:val="28"/>
          <w:szCs w:val="28"/>
        </w:rPr>
        <w:t>Early Sepsis Management:  Evaluation of Sepsis Alert Screening Tools for the Emergency Department</w:t>
      </w:r>
    </w:p>
    <w:p w:rsidR="00786ADC" w:rsidRDefault="00786ADC" w:rsidP="00786ADC">
      <w:pPr>
        <w:pStyle w:val="NormalWeb"/>
        <w:spacing w:after="150"/>
        <w:jc w:val="center"/>
      </w:pPr>
      <w:r w:rsidRPr="00764823">
        <w:t>Heidi Hayden</w:t>
      </w:r>
      <w:r>
        <w:t>, BSN,</w:t>
      </w:r>
      <w:r w:rsidRPr="00764823">
        <w:t xml:space="preserve"> RN,</w:t>
      </w:r>
      <w:r>
        <w:t xml:space="preserve"> CEN; Emergency Department</w:t>
      </w:r>
    </w:p>
    <w:p w:rsidR="00786ADC" w:rsidRDefault="00786ADC" w:rsidP="00786ADC">
      <w:pPr>
        <w:pStyle w:val="NormalWeb"/>
        <w:spacing w:after="150"/>
        <w:jc w:val="center"/>
      </w:pPr>
      <w:r>
        <w:t>Mayo Clinic Hospital, Phoenix Arizona</w:t>
      </w:r>
    </w:p>
    <w:p w:rsidR="001B3A88" w:rsidRDefault="001B3A88" w:rsidP="001B3A88">
      <w:pPr>
        <w:pStyle w:val="NormalWeb"/>
        <w:spacing w:after="150"/>
      </w:pPr>
      <w:r>
        <w:rPr>
          <w:b/>
          <w:bCs/>
          <w:color w:val="000000"/>
        </w:rPr>
        <w:t> </w:t>
      </w:r>
      <w:r w:rsidR="00786ADC">
        <w:rPr>
          <w:b/>
          <w:bCs/>
          <w:color w:val="000000"/>
        </w:rPr>
        <w:tab/>
      </w:r>
      <w:r>
        <w:t>Sepsis is responsible for one million hospital admissions per year resulting in 200,000 deaths and costing more than 20 billion dollars (Torio &amp; Andrews, 2013).  Annually, there are 500,000 emergency department (ED) visits for severe sepsis (Perman, Goyal, &amp; Gaieski, 2012). Sepsis can be difficult to detect as many patients present with vague complaints that can poorly define the condition. Delay in treatment of septic patients can result in septic shock and an increase in mortality. Studies have shown that sepsis is a time critical disease and early recognition and intervention is necessary to improve patient outcomes (</w:t>
      </w:r>
      <w:r>
        <w:rPr>
          <w:i/>
          <w:iCs/>
        </w:rPr>
        <w:t xml:space="preserve">Dellinger et al., 2013). </w:t>
      </w:r>
      <w:r>
        <w:t xml:space="preserve">Since two thirds of septic patients enter the hospital through the emergency department, the responsibility for identification and initial management of this population falls largely on the emergency department staff (Perman, Goyal, &amp; Gaieski, 2012).  </w:t>
      </w:r>
    </w:p>
    <w:p w:rsidR="001B3A88" w:rsidRDefault="001B3A88" w:rsidP="001B3A88">
      <w:pPr>
        <w:pStyle w:val="NormalWeb"/>
        <w:spacing w:after="150"/>
        <w:rPr>
          <w:color w:val="000000"/>
        </w:rPr>
      </w:pPr>
      <w:r>
        <w:t>Electronic Health Record (EHR) sepsis alert screening tools to help identify patients with SIRS, sepsis, and severe sepsis/septic shock have been developed and implemented by the Mayo Clinic Arizona ED nurses</w:t>
      </w:r>
      <w:r w:rsidR="00F010FD">
        <w:t xml:space="preserve">. The purpose of this project was to determine the validity </w:t>
      </w:r>
      <w:r>
        <w:t>of these tools.</w:t>
      </w:r>
      <w:r w:rsidR="00786ADC">
        <w:rPr>
          <w:b/>
          <w:bCs/>
          <w:color w:val="000000"/>
        </w:rPr>
        <w:t xml:space="preserve"> </w:t>
      </w:r>
      <w:r>
        <w:t xml:space="preserve">In order to evaluate the </w:t>
      </w:r>
      <w:r w:rsidR="00786ADC">
        <w:t xml:space="preserve">accuracy, </w:t>
      </w:r>
      <w:r>
        <w:t>sensitivity</w:t>
      </w:r>
      <w:r w:rsidR="00786ADC">
        <w:t>,</w:t>
      </w:r>
      <w:r>
        <w:t xml:space="preserve"> and specificity of the ED sepsis alert screening tools, we conduc</w:t>
      </w:r>
      <w:r w:rsidR="00786ADC">
        <w:t>t</w:t>
      </w:r>
      <w:r>
        <w:t>ed</w:t>
      </w:r>
      <w:r w:rsidR="00786ADC">
        <w:t xml:space="preserve"> </w:t>
      </w:r>
      <w:r>
        <w:t>a retrospective data review.</w:t>
      </w:r>
      <w:r w:rsidR="00786ADC">
        <w:rPr>
          <w:b/>
          <w:bCs/>
          <w:color w:val="000000"/>
        </w:rPr>
        <w:t xml:space="preserve"> </w:t>
      </w:r>
      <w:r w:rsidR="00786ADC">
        <w:rPr>
          <w:iCs/>
        </w:rPr>
        <w:t>The</w:t>
      </w:r>
      <w:r>
        <w:rPr>
          <w:iCs/>
        </w:rPr>
        <w:t xml:space="preserve"> chart </w:t>
      </w:r>
      <w:r w:rsidR="00786ADC">
        <w:rPr>
          <w:iCs/>
        </w:rPr>
        <w:t>review of 61,644 patient visits revealed our ED sepsis sc</w:t>
      </w:r>
      <w:r w:rsidR="005938B0">
        <w:rPr>
          <w:iCs/>
        </w:rPr>
        <w:t>reening alerts triggered</w:t>
      </w:r>
      <w:r w:rsidR="00786ADC">
        <w:rPr>
          <w:iCs/>
        </w:rPr>
        <w:t xml:space="preserve"> on only 9% of the patients and was</w:t>
      </w:r>
      <w:r>
        <w:rPr>
          <w:iCs/>
        </w:rPr>
        <w:t xml:space="preserve"> over 91% accurate, sensitive, and specific at identifying patients at risk for sepsis.</w:t>
      </w:r>
      <w:r>
        <w:rPr>
          <w:color w:val="000000"/>
        </w:rPr>
        <w:t xml:space="preserve"> </w:t>
      </w:r>
    </w:p>
    <w:p w:rsidR="00F010FD" w:rsidRDefault="00F010FD" w:rsidP="00F010FD">
      <w:pPr>
        <w:jc w:val="both"/>
        <w:rPr>
          <w:b/>
        </w:rPr>
      </w:pPr>
      <w:r w:rsidRPr="00732C88">
        <w:rPr>
          <w:b/>
        </w:rPr>
        <w:t>Biography</w:t>
      </w:r>
    </w:p>
    <w:p w:rsidR="00F010FD" w:rsidRDefault="00F010FD" w:rsidP="00F010FD">
      <w:pPr>
        <w:jc w:val="both"/>
        <w:rPr>
          <w:rFonts w:ascii="Times New Roman" w:hAnsi="Times New Roman" w:cs="Times New Roman"/>
          <w:sz w:val="24"/>
          <w:szCs w:val="24"/>
        </w:rPr>
      </w:pPr>
      <w:r w:rsidRPr="00F010FD">
        <w:rPr>
          <w:rFonts w:ascii="Times New Roman" w:hAnsi="Times New Roman" w:cs="Times New Roman"/>
          <w:sz w:val="24"/>
          <w:szCs w:val="24"/>
        </w:rPr>
        <w:t xml:space="preserve">Heidi has completed her Bachelors of Science in Nursing from the University of Kentucky. She has been a nurse for 29 years and has worked in many areas of bedside nursing, leadership, and nursing education. Heidi </w:t>
      </w:r>
      <w:r w:rsidR="005938B0">
        <w:rPr>
          <w:rFonts w:ascii="Times New Roman" w:hAnsi="Times New Roman" w:cs="Times New Roman"/>
          <w:sz w:val="24"/>
          <w:szCs w:val="24"/>
        </w:rPr>
        <w:t>ac</w:t>
      </w:r>
      <w:r w:rsidR="0064272D">
        <w:rPr>
          <w:rFonts w:ascii="Times New Roman" w:hAnsi="Times New Roman" w:cs="Times New Roman"/>
          <w:sz w:val="24"/>
          <w:szCs w:val="24"/>
        </w:rPr>
        <w:t>tively participates in evidence-</w:t>
      </w:r>
      <w:bookmarkStart w:id="0" w:name="_GoBack"/>
      <w:bookmarkEnd w:id="0"/>
      <w:r w:rsidR="005938B0">
        <w:rPr>
          <w:rFonts w:ascii="Times New Roman" w:hAnsi="Times New Roman" w:cs="Times New Roman"/>
          <w:sz w:val="24"/>
          <w:szCs w:val="24"/>
        </w:rPr>
        <w:t>based practice at Mayo Clinic Arizona and has presented projects at</w:t>
      </w:r>
      <w:r w:rsidRPr="00F010FD">
        <w:rPr>
          <w:rFonts w:ascii="Times New Roman" w:hAnsi="Times New Roman" w:cs="Times New Roman"/>
          <w:sz w:val="24"/>
          <w:szCs w:val="24"/>
        </w:rPr>
        <w:t xml:space="preserve"> local, as well as</w:t>
      </w:r>
      <w:r w:rsidR="005938B0">
        <w:rPr>
          <w:rFonts w:ascii="Times New Roman" w:hAnsi="Times New Roman" w:cs="Times New Roman"/>
          <w:sz w:val="24"/>
          <w:szCs w:val="24"/>
        </w:rPr>
        <w:t>,</w:t>
      </w:r>
      <w:r w:rsidRPr="00F010FD">
        <w:rPr>
          <w:rFonts w:ascii="Times New Roman" w:hAnsi="Times New Roman" w:cs="Times New Roman"/>
          <w:sz w:val="24"/>
          <w:szCs w:val="24"/>
        </w:rPr>
        <w:t xml:space="preserve"> national conferences.</w:t>
      </w:r>
    </w:p>
    <w:p w:rsidR="00953BA9" w:rsidRPr="00F010FD" w:rsidRDefault="00953BA9" w:rsidP="00F010FD">
      <w:pPr>
        <w:jc w:val="both"/>
        <w:rPr>
          <w:rFonts w:ascii="Times New Roman" w:hAnsi="Times New Roman" w:cs="Times New Roman"/>
          <w:sz w:val="24"/>
          <w:szCs w:val="24"/>
        </w:rPr>
      </w:pPr>
      <w:r>
        <w:rPr>
          <w:noProof/>
        </w:rPr>
        <w:drawing>
          <wp:inline distT="0" distB="0" distL="0" distR="0" wp14:anchorId="63DBF164" wp14:editId="2E157458">
            <wp:extent cx="1180952" cy="139047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180952" cy="1390476"/>
                    </a:xfrm>
                    <a:prstGeom prst="rect">
                      <a:avLst/>
                    </a:prstGeom>
                  </pic:spPr>
                </pic:pic>
              </a:graphicData>
            </a:graphic>
          </wp:inline>
        </w:drawing>
      </w:r>
    </w:p>
    <w:p w:rsidR="00953BA9" w:rsidRDefault="00953BA9" w:rsidP="001B3A88">
      <w:pPr>
        <w:pStyle w:val="NormalWeb"/>
        <w:spacing w:after="150"/>
        <w:rPr>
          <w:b/>
          <w:bCs/>
          <w:color w:val="000000"/>
          <w:sz w:val="20"/>
          <w:szCs w:val="20"/>
        </w:rPr>
      </w:pPr>
    </w:p>
    <w:p w:rsidR="00953BA9" w:rsidRDefault="00953BA9" w:rsidP="001B3A88">
      <w:pPr>
        <w:pStyle w:val="NormalWeb"/>
        <w:spacing w:after="150"/>
        <w:rPr>
          <w:b/>
          <w:bCs/>
          <w:color w:val="000000"/>
          <w:sz w:val="20"/>
          <w:szCs w:val="20"/>
        </w:rPr>
      </w:pPr>
    </w:p>
    <w:p w:rsidR="00953BA9" w:rsidRDefault="00953BA9" w:rsidP="001B3A88">
      <w:pPr>
        <w:pStyle w:val="NormalWeb"/>
        <w:spacing w:after="150"/>
        <w:rPr>
          <w:b/>
          <w:bCs/>
          <w:color w:val="000000"/>
          <w:sz w:val="20"/>
          <w:szCs w:val="20"/>
        </w:rPr>
      </w:pPr>
    </w:p>
    <w:p w:rsidR="00953BA9" w:rsidRDefault="00953BA9" w:rsidP="001B3A88">
      <w:pPr>
        <w:pStyle w:val="NormalWeb"/>
        <w:spacing w:after="150"/>
        <w:rPr>
          <w:b/>
          <w:bCs/>
          <w:color w:val="000000"/>
          <w:sz w:val="20"/>
          <w:szCs w:val="20"/>
        </w:rPr>
      </w:pPr>
    </w:p>
    <w:p w:rsidR="001B3A88" w:rsidRPr="00953BA9" w:rsidRDefault="001B3A88" w:rsidP="001B3A88">
      <w:pPr>
        <w:pStyle w:val="NormalWeb"/>
        <w:spacing w:after="150"/>
        <w:rPr>
          <w:color w:val="000000"/>
        </w:rPr>
      </w:pPr>
      <w:r w:rsidRPr="00953BA9">
        <w:rPr>
          <w:b/>
          <w:bCs/>
          <w:color w:val="000000"/>
        </w:rPr>
        <w:lastRenderedPageBreak/>
        <w:t>References:   </w:t>
      </w:r>
      <w:r w:rsidR="0064272D">
        <w:rPr>
          <w:b/>
          <w:bCs/>
          <w:color w:val="000000"/>
        </w:rPr>
        <w:t xml:space="preserve">   </w:t>
      </w:r>
    </w:p>
    <w:p w:rsidR="001B3A88" w:rsidRPr="00953BA9" w:rsidRDefault="001B3A88" w:rsidP="001B3A88">
      <w:pPr>
        <w:pStyle w:val="NormalWeb"/>
        <w:spacing w:before="28" w:after="150"/>
        <w:ind w:left="720" w:right="720" w:hanging="720"/>
      </w:pPr>
      <w:proofErr w:type="gramStart"/>
      <w:r w:rsidRPr="00953BA9">
        <w:rPr>
          <w:color w:val="000000"/>
        </w:rPr>
        <w:t>Torio, C. M. &amp; Andrews, R. (2013).</w:t>
      </w:r>
      <w:proofErr w:type="gramEnd"/>
      <w:r w:rsidRPr="00953BA9">
        <w:rPr>
          <w:color w:val="000000"/>
        </w:rPr>
        <w:t xml:space="preserve"> National inpatient hospital costs: the most </w:t>
      </w:r>
      <w:r w:rsidR="00786ADC" w:rsidRPr="00953BA9">
        <w:rPr>
          <w:color w:val="000000"/>
        </w:rPr>
        <w:t>expensive conditions</w:t>
      </w:r>
      <w:r w:rsidRPr="00953BA9">
        <w:rPr>
          <w:color w:val="000000"/>
        </w:rPr>
        <w:t xml:space="preserve"> by payer, 2011. Agency for Healthcare Research and Quality Healthcare Cost and Utilization Project Statistical Brief No. 160 August 2013.  Retrieved from:  </w:t>
      </w:r>
      <w:hyperlink r:id="rId6" w:history="1">
        <w:r w:rsidRPr="00953BA9">
          <w:rPr>
            <w:rStyle w:val="Hyperlink"/>
            <w:color w:val="0433FF"/>
          </w:rPr>
          <w:t>http://www.hcup-us.ahrq.gov/reports/statbriefs/statbriefs.jsp</w:t>
        </w:r>
      </w:hyperlink>
    </w:p>
    <w:p w:rsidR="001B3A88" w:rsidRPr="00953BA9" w:rsidRDefault="001B3A88" w:rsidP="001B3A88">
      <w:pPr>
        <w:pStyle w:val="NormalWeb"/>
        <w:spacing w:after="150"/>
        <w:ind w:left="720" w:hanging="720"/>
      </w:pPr>
      <w:r w:rsidRPr="00953BA9">
        <w:t>Perman, S.M., Goyal, M., &amp; Gaieski, F. (2012). Initial Emergency Department Diagnosis and Management of Adult Patients with Severe Sepsis and Septic Shock. </w:t>
      </w:r>
      <w:r w:rsidRPr="00953BA9">
        <w:rPr>
          <w:i/>
          <w:iCs/>
        </w:rPr>
        <w:t xml:space="preserve"> Scandinavian Journal of Trauma &amp; Emergency Medicine., </w:t>
      </w:r>
      <w:r w:rsidRPr="00953BA9">
        <w:rPr>
          <w:iCs/>
        </w:rPr>
        <w:t>20:41.</w:t>
      </w:r>
      <w:r w:rsidRPr="00953BA9">
        <w:rPr>
          <w:i/>
          <w:iCs/>
        </w:rPr>
        <w:t xml:space="preserve"> </w:t>
      </w:r>
      <w:r w:rsidRPr="00953BA9">
        <w:rPr>
          <w:iCs/>
        </w:rPr>
        <w:t>Retrieved from</w:t>
      </w:r>
      <w:r w:rsidRPr="00953BA9">
        <w:rPr>
          <w:i/>
          <w:iCs/>
        </w:rPr>
        <w:t xml:space="preserve"> </w:t>
      </w:r>
      <w:hyperlink r:id="rId7" w:history="1">
        <w:r w:rsidRPr="00953BA9">
          <w:rPr>
            <w:rStyle w:val="Hyperlink"/>
            <w:i/>
            <w:iCs/>
          </w:rPr>
          <w:t>http://www.ncbi.nlm.nih.gov/pmc/articles/PMC3507802</w:t>
        </w:r>
      </w:hyperlink>
      <w:r w:rsidRPr="00953BA9">
        <w:rPr>
          <w:i/>
          <w:iCs/>
        </w:rPr>
        <w:t xml:space="preserve"> </w:t>
      </w:r>
    </w:p>
    <w:p w:rsidR="001B3A88" w:rsidRPr="00953BA9" w:rsidRDefault="001B3A88" w:rsidP="001B3A88">
      <w:pPr>
        <w:pStyle w:val="NormalWeb"/>
        <w:spacing w:after="150"/>
        <w:ind w:left="720" w:hanging="720"/>
      </w:pPr>
      <w:r w:rsidRPr="00953BA9">
        <w:t>Dellinger, R. P., Levy, M. M., Rhodes, A., Annane, D., Gerlach, H., Opal, S. M., ... Moreno, R. (2013). Surviving Sepsis Campaign: International guidelines for management of severe sepsis and septic shock: 2012. Critical Care Medicine, 41(2), 580-637. doi:10.1097/CCM.0b013e31827e83af</w:t>
      </w:r>
    </w:p>
    <w:p w:rsidR="004F6D31" w:rsidRDefault="004F6D31"/>
    <w:sectPr w:rsidR="004F6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A88"/>
    <w:rsid w:val="001B3A88"/>
    <w:rsid w:val="004F6D31"/>
    <w:rsid w:val="005938B0"/>
    <w:rsid w:val="0064272D"/>
    <w:rsid w:val="00786ADC"/>
    <w:rsid w:val="00953BA9"/>
    <w:rsid w:val="00F01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B3A88"/>
    <w:rPr>
      <w:color w:val="0000FF"/>
      <w:u w:val="single"/>
    </w:rPr>
  </w:style>
  <w:style w:type="paragraph" w:styleId="NormalWeb">
    <w:name w:val="Normal (Web)"/>
    <w:basedOn w:val="Normal"/>
    <w:rsid w:val="001B3A88"/>
    <w:pPr>
      <w:suppressAutoHyphens/>
      <w:spacing w:before="100" w:after="100" w:line="100" w:lineRule="atLeast"/>
    </w:pPr>
    <w:rPr>
      <w:rFonts w:ascii="Times New Roman" w:eastAsia="Arial Unicode MS" w:hAnsi="Times New Roman" w:cs="Times New Roman"/>
      <w:sz w:val="24"/>
      <w:szCs w:val="24"/>
      <w:lang w:eastAsia="ar-SA"/>
    </w:rPr>
  </w:style>
  <w:style w:type="paragraph" w:styleId="BalloonText">
    <w:name w:val="Balloon Text"/>
    <w:basedOn w:val="Normal"/>
    <w:link w:val="BalloonTextChar"/>
    <w:uiPriority w:val="99"/>
    <w:semiHidden/>
    <w:unhideWhenUsed/>
    <w:rsid w:val="00953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B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B3A88"/>
    <w:rPr>
      <w:color w:val="0000FF"/>
      <w:u w:val="single"/>
    </w:rPr>
  </w:style>
  <w:style w:type="paragraph" w:styleId="NormalWeb">
    <w:name w:val="Normal (Web)"/>
    <w:basedOn w:val="Normal"/>
    <w:rsid w:val="001B3A88"/>
    <w:pPr>
      <w:suppressAutoHyphens/>
      <w:spacing w:before="100" w:after="100" w:line="100" w:lineRule="atLeast"/>
    </w:pPr>
    <w:rPr>
      <w:rFonts w:ascii="Times New Roman" w:eastAsia="Arial Unicode MS" w:hAnsi="Times New Roman" w:cs="Times New Roman"/>
      <w:sz w:val="24"/>
      <w:szCs w:val="24"/>
      <w:lang w:eastAsia="ar-SA"/>
    </w:rPr>
  </w:style>
  <w:style w:type="paragraph" w:styleId="BalloonText">
    <w:name w:val="Balloon Text"/>
    <w:basedOn w:val="Normal"/>
    <w:link w:val="BalloonTextChar"/>
    <w:uiPriority w:val="99"/>
    <w:semiHidden/>
    <w:unhideWhenUsed/>
    <w:rsid w:val="00953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B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cbi.nlm.nih.gov/pmc/articles/PMC350780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hcup-us.ahrq.gov/reports/statbriefs/statbriefs.jsp"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D Hayden</dc:creator>
  <cp:lastModifiedBy>Heidi D Hayden</cp:lastModifiedBy>
  <cp:revision>2</cp:revision>
  <dcterms:created xsi:type="dcterms:W3CDTF">2017-05-05T19:48:00Z</dcterms:created>
  <dcterms:modified xsi:type="dcterms:W3CDTF">2017-05-05T21:00:00Z</dcterms:modified>
</cp:coreProperties>
</file>