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1CB4" w:rsidRDefault="00F91CB4" w:rsidP="00823C8F">
      <w:pPr>
        <w:spacing w:line="240" w:lineRule="auto"/>
        <w:rPr>
          <w:rFonts w:ascii="Times New Roman" w:hAnsi="Times New Roman" w:cs="Times New Roman"/>
          <w:b/>
          <w:sz w:val="32"/>
          <w:szCs w:val="32"/>
        </w:rPr>
      </w:pPr>
      <w:r>
        <w:rPr>
          <w:rFonts w:ascii="Times New Roman" w:hAnsi="Times New Roman" w:cs="Times New Roman"/>
          <w:b/>
          <w:sz w:val="32"/>
          <w:szCs w:val="32"/>
        </w:rPr>
        <w:t>The</w:t>
      </w:r>
      <w:r w:rsidRPr="00862D2C">
        <w:rPr>
          <w:rFonts w:ascii="Times New Roman" w:hAnsi="Times New Roman" w:cs="Times New Roman"/>
          <w:b/>
          <w:sz w:val="32"/>
          <w:szCs w:val="32"/>
        </w:rPr>
        <w:t xml:space="preserve"> effectiveness of</w:t>
      </w:r>
      <w:r>
        <w:rPr>
          <w:rFonts w:ascii="Times New Roman" w:hAnsi="Times New Roman" w:cs="Times New Roman"/>
          <w:b/>
          <w:sz w:val="32"/>
          <w:szCs w:val="32"/>
        </w:rPr>
        <w:t xml:space="preserve"> different methods </w:t>
      </w:r>
      <w:r w:rsidRPr="00862D2C">
        <w:rPr>
          <w:rFonts w:ascii="Times New Roman" w:hAnsi="Times New Roman" w:cs="Times New Roman"/>
          <w:b/>
          <w:sz w:val="32"/>
          <w:szCs w:val="32"/>
        </w:rPr>
        <w:t xml:space="preserve">for verification of nasogastric/orogastric (NGT/OGT) </w:t>
      </w:r>
      <w:r>
        <w:rPr>
          <w:rFonts w:ascii="Times New Roman" w:hAnsi="Times New Roman" w:cs="Times New Roman"/>
          <w:b/>
          <w:sz w:val="32"/>
          <w:szCs w:val="32"/>
        </w:rPr>
        <w:t xml:space="preserve">placement for reducing complications </w:t>
      </w:r>
      <w:r w:rsidRPr="00862D2C">
        <w:rPr>
          <w:rFonts w:ascii="Times New Roman" w:hAnsi="Times New Roman" w:cs="Times New Roman"/>
          <w:b/>
          <w:sz w:val="32"/>
          <w:szCs w:val="32"/>
        </w:rPr>
        <w:t>in adult hospitalized patients</w:t>
      </w:r>
      <w:r>
        <w:rPr>
          <w:rFonts w:ascii="Times New Roman" w:hAnsi="Times New Roman" w:cs="Times New Roman"/>
          <w:b/>
          <w:sz w:val="32"/>
          <w:szCs w:val="32"/>
        </w:rPr>
        <w:t>: a systematic review protocol</w:t>
      </w:r>
    </w:p>
    <w:p w:rsidR="001F718F" w:rsidRPr="00862D2C" w:rsidRDefault="001F718F" w:rsidP="00823C8F">
      <w:pPr>
        <w:spacing w:line="240" w:lineRule="auto"/>
        <w:jc w:val="center"/>
        <w:rPr>
          <w:rFonts w:ascii="Times New Roman" w:hAnsi="Times New Roman" w:cs="Times New Roman"/>
          <w:b/>
          <w:color w:val="000000" w:themeColor="text1"/>
          <w:sz w:val="32"/>
          <w:szCs w:val="32"/>
        </w:rPr>
      </w:pPr>
      <w:r w:rsidRPr="00862D2C">
        <w:rPr>
          <w:rFonts w:ascii="Times New Roman" w:hAnsi="Times New Roman" w:cs="Times New Roman"/>
          <w:color w:val="000000" w:themeColor="text1"/>
          <w:sz w:val="24"/>
          <w:szCs w:val="24"/>
        </w:rPr>
        <w:t xml:space="preserve">Constantin Vintilescu </w:t>
      </w:r>
      <w:r>
        <w:rPr>
          <w:rFonts w:ascii="Times New Roman" w:hAnsi="Times New Roman" w:cs="Times New Roman"/>
          <w:color w:val="000000" w:themeColor="text1"/>
          <w:sz w:val="24"/>
          <w:szCs w:val="24"/>
        </w:rPr>
        <w:t xml:space="preserve">RN, MSN, DNP student </w:t>
      </w:r>
    </w:p>
    <w:p w:rsidR="00F91CB4" w:rsidRPr="00862D2C" w:rsidRDefault="00F91CB4" w:rsidP="00823C8F">
      <w:pPr>
        <w:spacing w:line="240" w:lineRule="auto"/>
        <w:jc w:val="center"/>
        <w:rPr>
          <w:rFonts w:ascii="Times New Roman" w:hAnsi="Times New Roman" w:cs="Times New Roman"/>
          <w:color w:val="000000" w:themeColor="text1"/>
          <w:sz w:val="24"/>
          <w:szCs w:val="24"/>
        </w:rPr>
      </w:pPr>
      <w:r w:rsidRPr="00862D2C">
        <w:rPr>
          <w:rFonts w:ascii="Times New Roman" w:hAnsi="Times New Roman" w:cs="Times New Roman"/>
          <w:color w:val="000000" w:themeColor="text1"/>
          <w:sz w:val="24"/>
          <w:szCs w:val="24"/>
        </w:rPr>
        <w:t>Rutgers, the State University on New Jersey, School of Nursing</w:t>
      </w:r>
    </w:p>
    <w:p w:rsidR="00F91CB4" w:rsidRPr="00862D2C" w:rsidRDefault="00F91CB4" w:rsidP="00823C8F">
      <w:pPr>
        <w:spacing w:line="240" w:lineRule="auto"/>
        <w:jc w:val="center"/>
        <w:rPr>
          <w:rFonts w:ascii="Times New Roman" w:hAnsi="Times New Roman" w:cs="Times New Roman"/>
          <w:color w:val="000000" w:themeColor="text1"/>
          <w:sz w:val="24"/>
          <w:szCs w:val="24"/>
        </w:rPr>
      </w:pPr>
      <w:r w:rsidRPr="00862D2C">
        <w:rPr>
          <w:rFonts w:ascii="Times New Roman" w:hAnsi="Times New Roman" w:cs="Times New Roman"/>
          <w:color w:val="000000" w:themeColor="text1"/>
          <w:sz w:val="24"/>
          <w:szCs w:val="24"/>
        </w:rPr>
        <w:t>By</w:t>
      </w:r>
    </w:p>
    <w:p w:rsidR="00F91CB4" w:rsidRDefault="00F91CB4" w:rsidP="003C5E39">
      <w:pPr>
        <w:spacing w:line="240" w:lineRule="auto"/>
        <w:jc w:val="center"/>
        <w:rPr>
          <w:rFonts w:ascii="Times New Roman" w:hAnsi="Times New Roman" w:cs="Times New Roman"/>
          <w:b/>
          <w:sz w:val="32"/>
          <w:szCs w:val="32"/>
        </w:rPr>
      </w:pPr>
      <w:r w:rsidRPr="00862D2C">
        <w:rPr>
          <w:rFonts w:ascii="Times New Roman" w:hAnsi="Times New Roman" w:cs="Times New Roman"/>
          <w:color w:val="000000" w:themeColor="text1"/>
          <w:sz w:val="24"/>
          <w:szCs w:val="24"/>
        </w:rPr>
        <w:t xml:space="preserve">Constantin Vintilescu </w:t>
      </w:r>
    </w:p>
    <w:p w:rsidR="0036512C" w:rsidRDefault="007B01B7" w:rsidP="007B01B7">
      <w:pPr>
        <w:jc w:val="center"/>
        <w:rPr>
          <w:rFonts w:ascii="Times New Roman" w:hAnsi="Times New Roman" w:cs="Times New Roman"/>
        </w:rPr>
      </w:pPr>
      <w:r w:rsidRPr="007B01B7">
        <w:rPr>
          <w:rFonts w:ascii="Times New Roman" w:hAnsi="Times New Roman" w:cs="Times New Roman"/>
        </w:rPr>
        <w:t>ABSTRACT</w:t>
      </w:r>
    </w:p>
    <w:p w:rsidR="005F1068" w:rsidRPr="005C617B" w:rsidRDefault="007B01B7" w:rsidP="00823C8F">
      <w:pPr>
        <w:spacing w:line="240" w:lineRule="auto"/>
        <w:ind w:firstLine="720"/>
        <w:rPr>
          <w:rFonts w:ascii="Times New Roman" w:hAnsi="Times New Roman" w:cs="Times New Roman"/>
          <w:sz w:val="24"/>
          <w:szCs w:val="24"/>
        </w:rPr>
      </w:pPr>
      <w:r w:rsidRPr="005C617B">
        <w:rPr>
          <w:rFonts w:ascii="Times New Roman" w:hAnsi="Times New Roman" w:cs="Times New Roman"/>
          <w:sz w:val="24"/>
          <w:szCs w:val="24"/>
        </w:rPr>
        <w:t>Nutritional support is very important for critically ill adult patients.</w:t>
      </w:r>
      <w:r w:rsidR="00922578" w:rsidRPr="005C617B">
        <w:rPr>
          <w:rFonts w:ascii="Times New Roman" w:hAnsi="Times New Roman" w:cs="Times New Roman"/>
          <w:sz w:val="24"/>
          <w:szCs w:val="24"/>
        </w:rPr>
        <w:t xml:space="preserve"> </w:t>
      </w:r>
      <w:r w:rsidR="009F1E31" w:rsidRPr="005C617B">
        <w:rPr>
          <w:rFonts w:ascii="Times New Roman" w:hAnsi="Times New Roman" w:cs="Times New Roman"/>
          <w:sz w:val="24"/>
          <w:szCs w:val="24"/>
        </w:rPr>
        <w:t>Nasogastric tube (NGT) and Orogastric tube (OGT), are very important for critically ill patients</w:t>
      </w:r>
      <w:r w:rsidR="005F1068" w:rsidRPr="005C617B">
        <w:rPr>
          <w:rFonts w:ascii="Times New Roman" w:hAnsi="Times New Roman" w:cs="Times New Roman"/>
          <w:sz w:val="24"/>
          <w:szCs w:val="24"/>
        </w:rPr>
        <w:t xml:space="preserve"> .OGT/NGT can be used for initiation of enteral feeding, medication administration and lavage fluid aspiration. Insertion of the NGT/OGT is done currently as a blind placement at the patient’s bedside. </w:t>
      </w:r>
      <w:r w:rsidR="00B50792">
        <w:rPr>
          <w:rFonts w:ascii="Times New Roman" w:hAnsi="Times New Roman" w:cs="Times New Roman"/>
          <w:sz w:val="24"/>
          <w:szCs w:val="24"/>
        </w:rPr>
        <w:t xml:space="preserve">Prior </w:t>
      </w:r>
      <w:r w:rsidR="00B50792" w:rsidRPr="005C617B">
        <w:rPr>
          <w:rFonts w:ascii="Times New Roman" w:hAnsi="Times New Roman" w:cs="Times New Roman"/>
          <w:sz w:val="24"/>
          <w:szCs w:val="24"/>
        </w:rPr>
        <w:t>enteral</w:t>
      </w:r>
      <w:r w:rsidR="005F1068" w:rsidRPr="005C617B">
        <w:rPr>
          <w:rFonts w:ascii="Times New Roman" w:hAnsi="Times New Roman" w:cs="Times New Roman"/>
          <w:sz w:val="24"/>
          <w:szCs w:val="24"/>
        </w:rPr>
        <w:t xml:space="preserve"> feeding, and medication administration the NGT/OGT placement must be verified. In many health care institutions</w:t>
      </w:r>
      <w:r w:rsidR="00553FC0">
        <w:rPr>
          <w:rFonts w:ascii="Times New Roman" w:hAnsi="Times New Roman" w:cs="Times New Roman"/>
          <w:sz w:val="24"/>
          <w:szCs w:val="24"/>
        </w:rPr>
        <w:t>,</w:t>
      </w:r>
      <w:r w:rsidR="005F1068" w:rsidRPr="005C617B">
        <w:rPr>
          <w:rFonts w:ascii="Times New Roman" w:hAnsi="Times New Roman" w:cs="Times New Roman"/>
          <w:sz w:val="24"/>
          <w:szCs w:val="24"/>
        </w:rPr>
        <w:t xml:space="preserve"> placement verification is done through chest x-</w:t>
      </w:r>
      <w:r w:rsidR="00660DDB" w:rsidRPr="005C617B">
        <w:rPr>
          <w:rFonts w:ascii="Times New Roman" w:hAnsi="Times New Roman" w:cs="Times New Roman"/>
          <w:sz w:val="24"/>
          <w:szCs w:val="24"/>
        </w:rPr>
        <w:t>ray. This method is costly and exposes patients to unnecessary radiological exposure increasing patient’s harm</w:t>
      </w:r>
      <w:r w:rsidR="00553FC0">
        <w:rPr>
          <w:rFonts w:ascii="Times New Roman" w:hAnsi="Times New Roman" w:cs="Times New Roman"/>
          <w:sz w:val="24"/>
          <w:szCs w:val="24"/>
        </w:rPr>
        <w:t>.</w:t>
      </w:r>
      <w:r w:rsidR="005F1068" w:rsidRPr="005C617B">
        <w:rPr>
          <w:rFonts w:ascii="Times New Roman" w:hAnsi="Times New Roman" w:cs="Times New Roman"/>
          <w:sz w:val="24"/>
          <w:szCs w:val="24"/>
        </w:rPr>
        <w:t xml:space="preserve"> </w:t>
      </w:r>
    </w:p>
    <w:p w:rsidR="000B7C58" w:rsidRDefault="00922578" w:rsidP="00823C8F">
      <w:pPr>
        <w:spacing w:line="240" w:lineRule="auto"/>
        <w:ind w:firstLine="720"/>
        <w:rPr>
          <w:rFonts w:ascii="Times New Roman" w:hAnsi="Times New Roman" w:cs="Times New Roman"/>
          <w:sz w:val="24"/>
          <w:szCs w:val="24"/>
        </w:rPr>
      </w:pPr>
      <w:r w:rsidRPr="005C617B">
        <w:rPr>
          <w:rFonts w:ascii="Times New Roman" w:hAnsi="Times New Roman" w:cs="Times New Roman"/>
          <w:sz w:val="24"/>
          <w:szCs w:val="24"/>
        </w:rPr>
        <w:t>There have been many research studies with different methods and technology devices</w:t>
      </w:r>
      <w:r w:rsidR="0042046C" w:rsidRPr="005C617B">
        <w:rPr>
          <w:rFonts w:ascii="Times New Roman" w:hAnsi="Times New Roman" w:cs="Times New Roman"/>
          <w:sz w:val="24"/>
          <w:szCs w:val="24"/>
        </w:rPr>
        <w:t xml:space="preserve"> to determine the </w:t>
      </w:r>
      <w:r w:rsidR="00351E63" w:rsidRPr="005C617B">
        <w:rPr>
          <w:rFonts w:ascii="Times New Roman" w:hAnsi="Times New Roman" w:cs="Times New Roman"/>
          <w:sz w:val="24"/>
          <w:szCs w:val="24"/>
        </w:rPr>
        <w:t>safest,</w:t>
      </w:r>
      <w:r w:rsidR="0042046C" w:rsidRPr="005C617B">
        <w:rPr>
          <w:rFonts w:ascii="Times New Roman" w:hAnsi="Times New Roman" w:cs="Times New Roman"/>
          <w:sz w:val="24"/>
          <w:szCs w:val="24"/>
        </w:rPr>
        <w:t xml:space="preserve"> </w:t>
      </w:r>
      <w:r w:rsidR="00C566B1" w:rsidRPr="005C617B">
        <w:rPr>
          <w:rFonts w:ascii="Times New Roman" w:hAnsi="Times New Roman" w:cs="Times New Roman"/>
          <w:sz w:val="24"/>
          <w:szCs w:val="24"/>
        </w:rPr>
        <w:t xml:space="preserve">and </w:t>
      </w:r>
      <w:r w:rsidR="0042046C" w:rsidRPr="005C617B">
        <w:rPr>
          <w:rFonts w:ascii="Times New Roman" w:hAnsi="Times New Roman" w:cs="Times New Roman"/>
          <w:sz w:val="24"/>
          <w:szCs w:val="24"/>
        </w:rPr>
        <w:t>less expensive</w:t>
      </w:r>
      <w:r w:rsidR="00351E63" w:rsidRPr="005C617B">
        <w:rPr>
          <w:rFonts w:ascii="Times New Roman" w:hAnsi="Times New Roman" w:cs="Times New Roman"/>
          <w:sz w:val="24"/>
          <w:szCs w:val="24"/>
        </w:rPr>
        <w:t xml:space="preserve">, </w:t>
      </w:r>
      <w:r w:rsidR="00C566B1" w:rsidRPr="005C617B">
        <w:rPr>
          <w:rFonts w:ascii="Times New Roman" w:hAnsi="Times New Roman" w:cs="Times New Roman"/>
          <w:sz w:val="24"/>
          <w:szCs w:val="24"/>
        </w:rPr>
        <w:t xml:space="preserve">method </w:t>
      </w:r>
      <w:r w:rsidR="0024050A" w:rsidRPr="005C617B">
        <w:rPr>
          <w:rFonts w:ascii="Times New Roman" w:hAnsi="Times New Roman" w:cs="Times New Roman"/>
          <w:sz w:val="24"/>
          <w:szCs w:val="24"/>
        </w:rPr>
        <w:t>for placement</w:t>
      </w:r>
      <w:r w:rsidR="00C566B1" w:rsidRPr="005C617B">
        <w:rPr>
          <w:rFonts w:ascii="Times New Roman" w:hAnsi="Times New Roman" w:cs="Times New Roman"/>
          <w:sz w:val="24"/>
          <w:szCs w:val="24"/>
        </w:rPr>
        <w:t xml:space="preserve"> verification of nasogastric/ orogastric (NGT/OGT) tube. Insertion of NGT/OGT is a high risk procedure, considering </w:t>
      </w:r>
      <w:r w:rsidR="0024050A" w:rsidRPr="005C617B">
        <w:rPr>
          <w:rFonts w:ascii="Times New Roman" w:hAnsi="Times New Roman" w:cs="Times New Roman"/>
          <w:sz w:val="24"/>
          <w:szCs w:val="24"/>
        </w:rPr>
        <w:t xml:space="preserve">the possible complication of misplacement. The placement of NGT/OGT inserted for enteral feeding require accurate verification for prevention of multiple complications. Even during the </w:t>
      </w:r>
      <w:r w:rsidR="00E06A47" w:rsidRPr="005C617B">
        <w:rPr>
          <w:rFonts w:ascii="Times New Roman" w:hAnsi="Times New Roman" w:cs="Times New Roman"/>
          <w:sz w:val="24"/>
          <w:szCs w:val="24"/>
        </w:rPr>
        <w:t>insertion,</w:t>
      </w:r>
      <w:r w:rsidR="0024050A" w:rsidRPr="005C617B">
        <w:rPr>
          <w:rFonts w:ascii="Times New Roman" w:hAnsi="Times New Roman" w:cs="Times New Roman"/>
          <w:sz w:val="24"/>
          <w:szCs w:val="24"/>
        </w:rPr>
        <w:t xml:space="preserve"> there is a risk </w:t>
      </w:r>
      <w:r w:rsidR="000C4754" w:rsidRPr="005C617B">
        <w:rPr>
          <w:rFonts w:ascii="Times New Roman" w:hAnsi="Times New Roman" w:cs="Times New Roman"/>
          <w:sz w:val="24"/>
          <w:szCs w:val="24"/>
        </w:rPr>
        <w:t xml:space="preserve">of aspiration if patient is vomiting </w:t>
      </w:r>
      <w:r w:rsidR="008A47F2" w:rsidRPr="005C617B">
        <w:rPr>
          <w:rFonts w:ascii="Times New Roman" w:hAnsi="Times New Roman" w:cs="Times New Roman"/>
          <w:sz w:val="24"/>
          <w:szCs w:val="24"/>
        </w:rPr>
        <w:t>at the time of procedure</w:t>
      </w:r>
      <w:r w:rsidR="000C4754" w:rsidRPr="005C617B">
        <w:rPr>
          <w:rFonts w:ascii="Times New Roman" w:hAnsi="Times New Roman" w:cs="Times New Roman"/>
          <w:sz w:val="24"/>
          <w:szCs w:val="24"/>
        </w:rPr>
        <w:t xml:space="preserve">. </w:t>
      </w:r>
    </w:p>
    <w:p w:rsidR="00323361" w:rsidRDefault="000B7C58" w:rsidP="00823C8F">
      <w:pPr>
        <w:spacing w:line="24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Regardless of the  institution, caring for the patients with NGT/OGT, is an important responsibility for nurses, and require many interventions as : carefully insertion of the NGT/OGT, safely  removal of it when it is not needed, assessing the correct placement in the stomach, measuring and  securing the tubes and, monitoring the patient throughout the process.. Patient outcomes are influenced by nurses’ interventions and management of the nasogastric tube. It is important that nursing care follow the best evidence based practice available.</w:t>
      </w:r>
      <w:r>
        <w:rPr>
          <w:rFonts w:ascii="Times New Roman" w:eastAsiaTheme="minorEastAsia" w:hAnsi="Times New Roman" w:cs="Times New Roman"/>
          <w:color w:val="000000" w:themeColor="text1"/>
          <w:kern w:val="24"/>
          <w:sz w:val="24"/>
          <w:szCs w:val="24"/>
        </w:rPr>
        <w:t xml:space="preserve"> </w:t>
      </w:r>
      <w:r>
        <w:rPr>
          <w:rFonts w:ascii="Times New Roman" w:hAnsi="Times New Roman" w:cs="Times New Roman"/>
          <w:color w:val="000000" w:themeColor="text1"/>
          <w:sz w:val="24"/>
          <w:szCs w:val="24"/>
        </w:rPr>
        <w:t>Health care providers are e</w:t>
      </w:r>
      <w:r w:rsidRPr="003C50C0">
        <w:rPr>
          <w:rFonts w:ascii="Times New Roman" w:hAnsi="Times New Roman" w:cs="Times New Roman"/>
          <w:color w:val="000000" w:themeColor="text1"/>
          <w:sz w:val="24"/>
          <w:szCs w:val="24"/>
        </w:rPr>
        <w:t xml:space="preserve">nsuring that all the adult patients with NGT/OGT in critical care are safe, and </w:t>
      </w:r>
      <w:r>
        <w:rPr>
          <w:rFonts w:ascii="Times New Roman" w:hAnsi="Times New Roman" w:cs="Times New Roman"/>
          <w:color w:val="000000" w:themeColor="text1"/>
          <w:sz w:val="24"/>
          <w:szCs w:val="24"/>
        </w:rPr>
        <w:t xml:space="preserve">are </w:t>
      </w:r>
      <w:r w:rsidRPr="003C50C0">
        <w:rPr>
          <w:rFonts w:ascii="Times New Roman" w:hAnsi="Times New Roman" w:cs="Times New Roman"/>
          <w:color w:val="000000" w:themeColor="text1"/>
          <w:sz w:val="24"/>
          <w:szCs w:val="24"/>
        </w:rPr>
        <w:t>receiving</w:t>
      </w:r>
      <w:r>
        <w:rPr>
          <w:rFonts w:ascii="Times New Roman" w:hAnsi="Times New Roman" w:cs="Times New Roman"/>
          <w:color w:val="000000" w:themeColor="text1"/>
          <w:sz w:val="24"/>
          <w:szCs w:val="24"/>
        </w:rPr>
        <w:t xml:space="preserve"> </w:t>
      </w:r>
      <w:r w:rsidRPr="003C50C0">
        <w:rPr>
          <w:rFonts w:ascii="Times New Roman" w:hAnsi="Times New Roman" w:cs="Times New Roman"/>
          <w:color w:val="000000" w:themeColor="text1"/>
          <w:sz w:val="24"/>
          <w:szCs w:val="24"/>
        </w:rPr>
        <w:t>evidence based practice care across the country over the course of their illness.  However there have been an increased number of incidents and misplacement of NGT/OGT in adult</w:t>
      </w:r>
      <w:r>
        <w:rPr>
          <w:rFonts w:ascii="Times New Roman" w:hAnsi="Times New Roman" w:cs="Times New Roman"/>
          <w:color w:val="000000" w:themeColor="text1"/>
          <w:sz w:val="24"/>
          <w:szCs w:val="24"/>
        </w:rPr>
        <w:t xml:space="preserve"> hospitalized </w:t>
      </w:r>
      <w:r w:rsidRPr="003C50C0">
        <w:rPr>
          <w:rFonts w:ascii="Times New Roman" w:hAnsi="Times New Roman" w:cs="Times New Roman"/>
          <w:color w:val="000000" w:themeColor="text1"/>
          <w:sz w:val="24"/>
          <w:szCs w:val="24"/>
        </w:rPr>
        <w:t xml:space="preserve">patients with serious complications. </w:t>
      </w:r>
      <w:r>
        <w:rPr>
          <w:rFonts w:ascii="Times New Roman" w:eastAsiaTheme="minorEastAsia" w:hAnsi="Times New Roman" w:cs="Times New Roman"/>
          <w:color w:val="000000" w:themeColor="text1"/>
          <w:kern w:val="24"/>
          <w:sz w:val="24"/>
          <w:szCs w:val="24"/>
        </w:rPr>
        <w:t>Registered Nurses around the country value the application of scientific evidence-based practice to guide and improve the quality of healthcare for better outcome.</w:t>
      </w:r>
      <w:r w:rsidRPr="003C50C0">
        <w:rPr>
          <w:rFonts w:ascii="Times New Roman" w:hAnsi="Times New Roman" w:cs="Times New Roman"/>
          <w:color w:val="000000" w:themeColor="text1"/>
          <w:sz w:val="24"/>
          <w:szCs w:val="24"/>
        </w:rPr>
        <w:t xml:space="preserve">   </w:t>
      </w:r>
    </w:p>
    <w:p w:rsidR="00323361" w:rsidRDefault="00323361" w:rsidP="00823C8F">
      <w:pPr>
        <w:spacing w:line="240" w:lineRule="auto"/>
        <w:ind w:firstLine="720"/>
        <w:rPr>
          <w:rFonts w:ascii="Times New Roman" w:hAnsi="Times New Roman" w:cs="Times New Roman"/>
          <w:color w:val="000000" w:themeColor="text1"/>
          <w:sz w:val="24"/>
          <w:szCs w:val="24"/>
        </w:rPr>
      </w:pPr>
      <w:r w:rsidRPr="003C50C0">
        <w:rPr>
          <w:rFonts w:ascii="Times New Roman" w:eastAsiaTheme="minorEastAsia" w:hAnsi="Times New Roman" w:cs="Times New Roman"/>
          <w:color w:val="000000" w:themeColor="text1"/>
          <w:kern w:val="24"/>
          <w:sz w:val="24"/>
          <w:szCs w:val="24"/>
        </w:rPr>
        <w:t xml:space="preserve">Recent evidence suggests that official statistics greatly underestimate the occurrence of complications from misplaced nasogastric (NG) tubes, even when detected </w:t>
      </w:r>
      <w:r>
        <w:rPr>
          <w:rFonts w:ascii="Times New Roman" w:eastAsiaTheme="minorEastAsia" w:hAnsi="Times New Roman" w:cs="Times New Roman"/>
          <w:color w:val="000000" w:themeColor="text1"/>
          <w:kern w:val="24"/>
          <w:sz w:val="24"/>
          <w:szCs w:val="24"/>
        </w:rPr>
        <w:t xml:space="preserve">(Weinberg &amp; </w:t>
      </w:r>
      <w:proofErr w:type="spellStart"/>
      <w:r>
        <w:rPr>
          <w:rFonts w:ascii="Times New Roman" w:eastAsiaTheme="minorEastAsia" w:hAnsi="Times New Roman" w:cs="Times New Roman"/>
          <w:color w:val="000000" w:themeColor="text1"/>
          <w:kern w:val="24"/>
          <w:sz w:val="24"/>
          <w:szCs w:val="24"/>
        </w:rPr>
        <w:t>Skewes</w:t>
      </w:r>
      <w:proofErr w:type="spellEnd"/>
      <w:r>
        <w:rPr>
          <w:rFonts w:ascii="Times New Roman" w:eastAsiaTheme="minorEastAsia" w:hAnsi="Times New Roman" w:cs="Times New Roman"/>
          <w:color w:val="000000" w:themeColor="text1"/>
          <w:kern w:val="24"/>
          <w:sz w:val="24"/>
          <w:szCs w:val="24"/>
        </w:rPr>
        <w:t xml:space="preserve"> 2006). </w:t>
      </w:r>
      <w:r w:rsidRPr="003C50C0">
        <w:rPr>
          <w:rFonts w:ascii="Times New Roman" w:eastAsiaTheme="minorEastAsia" w:hAnsi="Times New Roman" w:cs="Times New Roman"/>
          <w:color w:val="000000" w:themeColor="text1"/>
          <w:kern w:val="24"/>
          <w:sz w:val="24"/>
          <w:szCs w:val="24"/>
        </w:rPr>
        <w:t xml:space="preserve">NGT may be misplaced in the brain, especially in patients with maxillofacial trauma </w:t>
      </w:r>
      <w:r>
        <w:rPr>
          <w:rFonts w:ascii="Times New Roman" w:eastAsiaTheme="minorEastAsia" w:hAnsi="Times New Roman" w:cs="Times New Roman"/>
          <w:color w:val="000000" w:themeColor="text1"/>
          <w:kern w:val="24"/>
          <w:sz w:val="24"/>
          <w:szCs w:val="24"/>
        </w:rPr>
        <w:t xml:space="preserve">(Pillai et al 2005), </w:t>
      </w:r>
      <w:r w:rsidRPr="003C50C0">
        <w:rPr>
          <w:rFonts w:ascii="Times New Roman" w:eastAsiaTheme="minorEastAsia" w:hAnsi="Times New Roman" w:cs="Times New Roman"/>
          <w:color w:val="000000" w:themeColor="text1"/>
          <w:kern w:val="24"/>
          <w:sz w:val="24"/>
          <w:szCs w:val="24"/>
        </w:rPr>
        <w:t>or after endoscopic skull base surgery</w:t>
      </w:r>
      <w:r>
        <w:rPr>
          <w:rFonts w:ascii="Times New Roman" w:eastAsiaTheme="minorEastAsia" w:hAnsi="Times New Roman" w:cs="Times New Roman"/>
          <w:color w:val="000000" w:themeColor="text1"/>
          <w:kern w:val="24"/>
          <w:sz w:val="24"/>
          <w:szCs w:val="24"/>
        </w:rPr>
        <w:t xml:space="preserve"> (Hanna et al 2012). </w:t>
      </w:r>
      <w:r w:rsidRPr="003C50C0">
        <w:rPr>
          <w:rFonts w:ascii="Times New Roman" w:eastAsiaTheme="minorEastAsia" w:hAnsi="Times New Roman" w:cs="Times New Roman"/>
          <w:color w:val="000000" w:themeColor="text1"/>
          <w:kern w:val="24"/>
          <w:sz w:val="24"/>
          <w:szCs w:val="24"/>
        </w:rPr>
        <w:t xml:space="preserve">Inadvertent placement of a NGT into the brain of a patient with a traumatic defect in the cribriform plate is a </w:t>
      </w:r>
      <w:r w:rsidRPr="003C50C0">
        <w:rPr>
          <w:rFonts w:ascii="Times New Roman" w:eastAsiaTheme="minorEastAsia" w:hAnsi="Times New Roman" w:cs="Times New Roman"/>
          <w:color w:val="000000" w:themeColor="text1"/>
          <w:kern w:val="24"/>
          <w:sz w:val="24"/>
          <w:szCs w:val="24"/>
        </w:rPr>
        <w:lastRenderedPageBreak/>
        <w:t>problem that has been recognized for decades but reports of this complication still occur</w:t>
      </w:r>
      <w:r>
        <w:rPr>
          <w:rFonts w:ascii="Times New Roman" w:eastAsiaTheme="minorEastAsia" w:hAnsi="Times New Roman" w:cs="Times New Roman"/>
          <w:color w:val="000000" w:themeColor="text1"/>
          <w:kern w:val="24"/>
          <w:sz w:val="24"/>
          <w:szCs w:val="24"/>
        </w:rPr>
        <w:t xml:space="preserve"> (</w:t>
      </w:r>
      <w:proofErr w:type="spellStart"/>
      <w:r>
        <w:rPr>
          <w:rFonts w:ascii="Times New Roman" w:eastAsiaTheme="minorEastAsia" w:hAnsi="Times New Roman" w:cs="Times New Roman"/>
          <w:color w:val="000000" w:themeColor="text1"/>
          <w:kern w:val="24"/>
          <w:sz w:val="24"/>
          <w:szCs w:val="24"/>
        </w:rPr>
        <w:t>Rahmi</w:t>
      </w:r>
      <w:proofErr w:type="spellEnd"/>
      <w:r>
        <w:rPr>
          <w:rFonts w:ascii="Times New Roman" w:eastAsiaTheme="minorEastAsia" w:hAnsi="Times New Roman" w:cs="Times New Roman"/>
          <w:color w:val="000000" w:themeColor="text1"/>
          <w:kern w:val="24"/>
          <w:sz w:val="24"/>
          <w:szCs w:val="24"/>
        </w:rPr>
        <w:t xml:space="preserve"> et al 2005).</w:t>
      </w:r>
      <w:r>
        <w:rPr>
          <w:rFonts w:ascii="Times New Roman" w:eastAsiaTheme="minorEastAsia" w:hAnsi="Times New Roman" w:cs="Times New Roman"/>
          <w:color w:val="000000" w:themeColor="text1"/>
          <w:kern w:val="24"/>
          <w:sz w:val="24"/>
          <w:szCs w:val="24"/>
          <w:vertAlign w:val="superscript"/>
        </w:rPr>
        <w:t xml:space="preserve"> </w:t>
      </w:r>
      <w:r w:rsidRPr="003C50C0">
        <w:rPr>
          <w:rFonts w:ascii="Times New Roman" w:eastAsiaTheme="minorEastAsia" w:hAnsi="Times New Roman" w:cs="Times New Roman"/>
          <w:color w:val="000000" w:themeColor="text1"/>
          <w:kern w:val="24"/>
          <w:sz w:val="24"/>
          <w:szCs w:val="24"/>
        </w:rPr>
        <w:t xml:space="preserve"> Serious complications were associated with the malposition in 14 (28 %) of the patients ; these included eight instances of pneumothorax that required chest tubes and one that required endotracheal  tube and intubation, as well as five cases of pneumonia</w:t>
      </w:r>
      <w:r>
        <w:rPr>
          <w:rFonts w:ascii="Times New Roman" w:eastAsiaTheme="minorEastAsia" w:hAnsi="Times New Roman" w:cs="Times New Roman"/>
          <w:color w:val="000000" w:themeColor="text1"/>
          <w:kern w:val="24"/>
          <w:sz w:val="24"/>
          <w:szCs w:val="24"/>
        </w:rPr>
        <w:t>( Taylor, 2014).</w:t>
      </w:r>
    </w:p>
    <w:p w:rsidR="00581D36" w:rsidRDefault="00581D36" w:rsidP="00823C8F">
      <w:pPr>
        <w:spacing w:line="240" w:lineRule="auto"/>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There are variety of practices related to the accurate method of verifying the NGT/OGT placement.</w:t>
      </w:r>
    </w:p>
    <w:p w:rsidR="00910080" w:rsidRDefault="00E10E76" w:rsidP="00823C8F">
      <w:pPr>
        <w:spacing w:line="240" w:lineRule="auto"/>
        <w:ind w:firstLine="720"/>
        <w:rPr>
          <w:rFonts w:ascii="Times New Roman" w:hAnsi="Times New Roman" w:cs="Times New Roman"/>
          <w:sz w:val="24"/>
          <w:szCs w:val="24"/>
        </w:rPr>
      </w:pPr>
      <w:r w:rsidRPr="005C617B">
        <w:rPr>
          <w:rFonts w:ascii="Times New Roman" w:hAnsi="Times New Roman" w:cs="Times New Roman"/>
          <w:sz w:val="24"/>
          <w:szCs w:val="24"/>
        </w:rPr>
        <w:t xml:space="preserve">The purpose of this systematic review </w:t>
      </w:r>
      <w:r w:rsidR="001B3A09" w:rsidRPr="005C617B">
        <w:rPr>
          <w:rFonts w:ascii="Times New Roman" w:hAnsi="Times New Roman" w:cs="Times New Roman"/>
          <w:sz w:val="24"/>
          <w:szCs w:val="24"/>
        </w:rPr>
        <w:t>is</w:t>
      </w:r>
      <w:r w:rsidRPr="005C617B">
        <w:rPr>
          <w:rFonts w:ascii="Times New Roman" w:hAnsi="Times New Roman" w:cs="Times New Roman"/>
          <w:sz w:val="24"/>
          <w:szCs w:val="24"/>
        </w:rPr>
        <w:t xml:space="preserve"> to </w:t>
      </w:r>
      <w:r w:rsidR="001B3A09" w:rsidRPr="005C617B">
        <w:rPr>
          <w:rFonts w:ascii="Times New Roman" w:hAnsi="Times New Roman" w:cs="Times New Roman"/>
          <w:sz w:val="24"/>
          <w:szCs w:val="24"/>
        </w:rPr>
        <w:t xml:space="preserve">conduct a comprehensive research to reconcile the evidence </w:t>
      </w:r>
      <w:r w:rsidR="005C617B" w:rsidRPr="005C617B">
        <w:rPr>
          <w:rFonts w:ascii="Times New Roman" w:hAnsi="Times New Roman" w:cs="Times New Roman"/>
          <w:sz w:val="24"/>
          <w:szCs w:val="24"/>
        </w:rPr>
        <w:t>and determine</w:t>
      </w:r>
      <w:r w:rsidRPr="005C617B">
        <w:rPr>
          <w:rFonts w:ascii="Times New Roman" w:hAnsi="Times New Roman" w:cs="Times New Roman"/>
          <w:sz w:val="24"/>
          <w:szCs w:val="24"/>
        </w:rPr>
        <w:t xml:space="preserve"> </w:t>
      </w:r>
      <w:r w:rsidR="00910080">
        <w:rPr>
          <w:rFonts w:ascii="Times New Roman" w:hAnsi="Times New Roman" w:cs="Times New Roman"/>
          <w:sz w:val="24"/>
          <w:szCs w:val="24"/>
        </w:rPr>
        <w:t>what method for  verification of nasogastric/orogastric (NGT/OGT)  tube placement reduce complications in adult hospitalized patients.</w:t>
      </w:r>
    </w:p>
    <w:p w:rsidR="00795718" w:rsidRDefault="00795718" w:rsidP="00823C8F">
      <w:pPr>
        <w:spacing w:line="240" w:lineRule="auto"/>
        <w:rPr>
          <w:rFonts w:ascii="Times New Roman" w:hAnsi="Times New Roman" w:cs="Times New Roman"/>
          <w:color w:val="000000" w:themeColor="text1"/>
          <w:sz w:val="24"/>
          <w:szCs w:val="24"/>
        </w:rPr>
      </w:pPr>
      <w:r w:rsidRPr="00CF7414">
        <w:rPr>
          <w:rFonts w:ascii="Times New Roman" w:hAnsi="Times New Roman" w:cs="Times New Roman"/>
          <w:b/>
          <w:sz w:val="24"/>
          <w:szCs w:val="24"/>
        </w:rPr>
        <w:t>Inclusion Criteria</w:t>
      </w:r>
      <w:r>
        <w:rPr>
          <w:rFonts w:ascii="Times New Roman" w:hAnsi="Times New Roman" w:cs="Times New Roman"/>
          <w:sz w:val="24"/>
          <w:szCs w:val="24"/>
        </w:rPr>
        <w:t xml:space="preserve">:  </w:t>
      </w:r>
      <w:r w:rsidR="00CF7414">
        <w:rPr>
          <w:rFonts w:ascii="Times New Roman" w:hAnsi="Times New Roman" w:cs="Times New Roman"/>
          <w:color w:val="000000" w:themeColor="text1"/>
          <w:sz w:val="24"/>
          <w:szCs w:val="24"/>
        </w:rPr>
        <w:t xml:space="preserve">This systematic review will incorporate studies related to hospitalized patients who require nasogastric tube for enteral feeding, medication or abdominal decompression. In those patients placement verification of NGT/OGT is very important for patient safety. </w:t>
      </w:r>
    </w:p>
    <w:p w:rsidR="00054847" w:rsidRDefault="00054847" w:rsidP="00823C8F">
      <w:pPr>
        <w:spacing w:line="240" w:lineRule="auto"/>
        <w:rPr>
          <w:rFonts w:ascii="Times New Roman" w:hAnsi="Times New Roman" w:cs="Times New Roman"/>
          <w:color w:val="000000" w:themeColor="text1"/>
          <w:sz w:val="24"/>
          <w:szCs w:val="24"/>
        </w:rPr>
      </w:pPr>
      <w:r w:rsidRPr="003D271A">
        <w:rPr>
          <w:rFonts w:ascii="Times New Roman" w:hAnsi="Times New Roman" w:cs="Times New Roman"/>
          <w:b/>
          <w:color w:val="000000" w:themeColor="text1"/>
          <w:sz w:val="24"/>
          <w:szCs w:val="24"/>
        </w:rPr>
        <w:t>Data collection</w:t>
      </w:r>
      <w:r>
        <w:rPr>
          <w:rFonts w:ascii="Times New Roman" w:hAnsi="Times New Roman" w:cs="Times New Roman"/>
          <w:color w:val="000000" w:themeColor="text1"/>
          <w:sz w:val="24"/>
          <w:szCs w:val="24"/>
        </w:rPr>
        <w:t xml:space="preserve">: </w:t>
      </w:r>
      <w:r w:rsidR="003D271A">
        <w:rPr>
          <w:rFonts w:ascii="Times New Roman" w:eastAsiaTheme="minorEastAsia" w:hAnsi="Times New Roman" w:cs="Times New Roman"/>
          <w:color w:val="000000" w:themeColor="text1"/>
          <w:kern w:val="24"/>
          <w:sz w:val="24"/>
          <w:szCs w:val="24"/>
          <w14:shadow w14:blurRad="38100" w14:dist="19050" w14:dir="2700000" w14:sx="100000" w14:sy="100000" w14:kx="0" w14:ky="0" w14:algn="tl">
            <w14:schemeClr w14:val="dk1">
              <w14:alpha w14:val="60000"/>
            </w14:schemeClr>
          </w14:shadow>
        </w:rPr>
        <w:t>All project data will be extracted from research studies using a modified Joanna Briggs Institute (JBI) data extraction form</w:t>
      </w:r>
    </w:p>
    <w:p w:rsidR="00B61499" w:rsidRDefault="003D271A" w:rsidP="00823C8F">
      <w:pPr>
        <w:spacing w:line="240" w:lineRule="auto"/>
        <w:rPr>
          <w:rFonts w:ascii="Times New Roman" w:hAnsi="Times New Roman" w:cs="Times New Roman"/>
          <w:color w:val="000000" w:themeColor="text1"/>
          <w:sz w:val="24"/>
          <w:szCs w:val="24"/>
        </w:rPr>
      </w:pPr>
      <w:r w:rsidRPr="00B61499">
        <w:rPr>
          <w:rFonts w:ascii="Times New Roman" w:hAnsi="Times New Roman" w:cs="Times New Roman"/>
          <w:b/>
          <w:sz w:val="24"/>
          <w:szCs w:val="24"/>
        </w:rPr>
        <w:t>Conclusions &amp; Implications</w:t>
      </w:r>
      <w:r>
        <w:rPr>
          <w:rFonts w:ascii="Times New Roman" w:hAnsi="Times New Roman" w:cs="Times New Roman"/>
          <w:sz w:val="24"/>
          <w:szCs w:val="24"/>
        </w:rPr>
        <w:t xml:space="preserve">:  </w:t>
      </w:r>
      <w:r w:rsidR="00B61499" w:rsidRPr="00C86C1A">
        <w:rPr>
          <w:rFonts w:ascii="Times New Roman" w:hAnsi="Times New Roman" w:cs="Times New Roman"/>
          <w:color w:val="000000" w:themeColor="text1"/>
          <w:sz w:val="24"/>
          <w:szCs w:val="24"/>
        </w:rPr>
        <w:t>Cortrak Enteral Access System</w:t>
      </w:r>
      <w:r w:rsidR="00B61499" w:rsidRPr="003C50C0">
        <w:rPr>
          <w:rFonts w:ascii="Times New Roman" w:hAnsi="Times New Roman" w:cs="Times New Roman"/>
          <w:color w:val="000000" w:themeColor="text1"/>
          <w:sz w:val="24"/>
          <w:szCs w:val="24"/>
        </w:rPr>
        <w:t xml:space="preserve">, is a new electromagnetic tube placement device that could eliminate the need for x-ray placement verification of NGT/OGT. The review of literature research revealed the evidence that support the use of Contrak Enteral Access System </w:t>
      </w:r>
      <w:r w:rsidR="00B61499">
        <w:rPr>
          <w:rFonts w:ascii="Times New Roman" w:hAnsi="Times New Roman" w:cs="Times New Roman"/>
          <w:color w:val="000000" w:themeColor="text1"/>
          <w:sz w:val="24"/>
          <w:szCs w:val="24"/>
        </w:rPr>
        <w:t>(Creel et al, 2007).</w:t>
      </w:r>
      <w:r w:rsidR="00B61499">
        <w:rPr>
          <w:rFonts w:ascii="Times New Roman" w:hAnsi="Times New Roman" w:cs="Times New Roman"/>
          <w:color w:val="000000" w:themeColor="text1"/>
          <w:sz w:val="24"/>
          <w:szCs w:val="24"/>
          <w:vertAlign w:val="superscript"/>
        </w:rPr>
        <w:t xml:space="preserve">  </w:t>
      </w:r>
      <w:r w:rsidR="00B61499" w:rsidRPr="003C50C0">
        <w:rPr>
          <w:rFonts w:ascii="Times New Roman" w:hAnsi="Times New Roman" w:cs="Times New Roman"/>
          <w:color w:val="000000" w:themeColor="text1"/>
          <w:sz w:val="24"/>
          <w:szCs w:val="24"/>
        </w:rPr>
        <w:t xml:space="preserve"> Cortrak enteral electromagnetic tube feeding is a new practice for NGT/OGT placement verification. The use of an electromagnetic tube placement device, such as Cortrak, is potentially the safest and most efficient practice method in current healthcare practices </w:t>
      </w:r>
      <w:r w:rsidR="00B61499">
        <w:rPr>
          <w:rFonts w:ascii="Times New Roman" w:hAnsi="Times New Roman" w:cs="Times New Roman"/>
          <w:color w:val="000000" w:themeColor="text1"/>
          <w:sz w:val="24"/>
          <w:szCs w:val="24"/>
        </w:rPr>
        <w:t>(Roberts et al, 2007).</w:t>
      </w:r>
      <w:r w:rsidR="00B61499" w:rsidRPr="003C50C0">
        <w:rPr>
          <w:rFonts w:ascii="Times New Roman" w:hAnsi="Times New Roman" w:cs="Times New Roman"/>
          <w:color w:val="000000" w:themeColor="text1"/>
          <w:sz w:val="24"/>
          <w:szCs w:val="24"/>
        </w:rPr>
        <w:t xml:space="preserve"> The Cortrak 2 has FDA clearance to be used in confirming tube tip location in lieu of X-ray. </w:t>
      </w:r>
    </w:p>
    <w:p w:rsidR="00B61499" w:rsidRDefault="00B61499" w:rsidP="00823C8F">
      <w:pPr>
        <w:spacing w:line="240" w:lineRule="auto"/>
        <w:rPr>
          <w:rFonts w:ascii="Times New Roman" w:hAnsi="Times New Roman" w:cs="Times New Roman"/>
          <w:color w:val="000000" w:themeColor="text1"/>
          <w:sz w:val="24"/>
          <w:szCs w:val="24"/>
        </w:rPr>
      </w:pPr>
      <w:r w:rsidRPr="003C50C0">
        <w:rPr>
          <w:rFonts w:ascii="Times New Roman" w:hAnsi="Times New Roman" w:cs="Times New Roman"/>
          <w:color w:val="000000" w:themeColor="text1"/>
          <w:sz w:val="24"/>
          <w:szCs w:val="24"/>
        </w:rPr>
        <w:t xml:space="preserve">This, in effect, leads to reduced cost and improved patient safety </w:t>
      </w:r>
      <w:r>
        <w:rPr>
          <w:rFonts w:ascii="Times New Roman" w:hAnsi="Times New Roman" w:cs="Times New Roman"/>
          <w:color w:val="000000" w:themeColor="text1"/>
          <w:sz w:val="24"/>
          <w:szCs w:val="24"/>
        </w:rPr>
        <w:t xml:space="preserve">(Sackett et al, </w:t>
      </w:r>
      <w:r w:rsidR="00D907A4">
        <w:rPr>
          <w:rFonts w:ascii="Times New Roman" w:hAnsi="Times New Roman" w:cs="Times New Roman"/>
          <w:color w:val="000000" w:themeColor="text1"/>
          <w:sz w:val="24"/>
          <w:szCs w:val="24"/>
        </w:rPr>
        <w:t>2007</w:t>
      </w: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vertAlign w:val="superscript"/>
        </w:rPr>
        <w:t xml:space="preserve"> </w:t>
      </w:r>
      <w:r w:rsidRPr="003C50C0">
        <w:rPr>
          <w:rFonts w:ascii="Times New Roman" w:hAnsi="Times New Roman" w:cs="Times New Roman"/>
          <w:color w:val="000000" w:themeColor="text1"/>
          <w:sz w:val="24"/>
          <w:szCs w:val="24"/>
        </w:rPr>
        <w:t xml:space="preserve">The research literature suggests that the use of Cortrak enteral electromagnetic tube placement device would be more beneficial than existing practices. </w:t>
      </w:r>
    </w:p>
    <w:p w:rsidR="003C5E39" w:rsidRDefault="00B61499" w:rsidP="00823C8F">
      <w:pPr>
        <w:spacing w:line="240" w:lineRule="auto"/>
        <w:ind w:firstLine="720"/>
        <w:rPr>
          <w:rFonts w:ascii="Times New Roman" w:hAnsi="Times New Roman" w:cs="Times New Roman"/>
          <w:color w:val="000000" w:themeColor="text1"/>
          <w:sz w:val="24"/>
          <w:szCs w:val="24"/>
        </w:rPr>
      </w:pPr>
      <w:r w:rsidRPr="003C50C0">
        <w:rPr>
          <w:rFonts w:ascii="Times New Roman" w:hAnsi="Times New Roman" w:cs="Times New Roman"/>
          <w:color w:val="000000" w:themeColor="text1"/>
          <w:sz w:val="24"/>
          <w:szCs w:val="24"/>
        </w:rPr>
        <w:t>This Cortrak Enteral electromagnetic tube feeding placement device needs to be implemented and standardized in hospital settings.</w:t>
      </w:r>
      <w:r>
        <w:rPr>
          <w:rFonts w:ascii="Times New Roman" w:hAnsi="Times New Roman" w:cs="Times New Roman"/>
          <w:color w:val="000000" w:themeColor="text1"/>
          <w:sz w:val="24"/>
          <w:szCs w:val="24"/>
        </w:rPr>
        <w:t xml:space="preserve"> </w:t>
      </w:r>
      <w:r w:rsidRPr="003C50C0">
        <w:rPr>
          <w:rFonts w:ascii="Times New Roman" w:hAnsi="Times New Roman" w:cs="Times New Roman"/>
          <w:color w:val="000000" w:themeColor="text1"/>
          <w:sz w:val="24"/>
          <w:szCs w:val="24"/>
        </w:rPr>
        <w:t>The research shows that twelve aspiration events occurred among 276 patients (prevalence, 4.4%; 95 % confidence interval, 2.2% to 7.6%).  In this study the incidence of aspiration as 2.4 % per 1000 tube-feeding days (95% confidence interval, 1.2 to 3.9 per 1000)</w:t>
      </w:r>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Mullan</w:t>
      </w:r>
      <w:proofErr w:type="spellEnd"/>
      <w:r>
        <w:rPr>
          <w:rFonts w:ascii="Times New Roman" w:hAnsi="Times New Roman" w:cs="Times New Roman"/>
          <w:color w:val="000000" w:themeColor="text1"/>
          <w:sz w:val="24"/>
          <w:szCs w:val="24"/>
        </w:rPr>
        <w:t xml:space="preserve"> &amp; </w:t>
      </w:r>
      <w:proofErr w:type="spellStart"/>
      <w:r>
        <w:rPr>
          <w:rFonts w:ascii="Times New Roman" w:hAnsi="Times New Roman" w:cs="Times New Roman"/>
          <w:color w:val="000000" w:themeColor="text1"/>
          <w:sz w:val="24"/>
          <w:szCs w:val="24"/>
        </w:rPr>
        <w:t>Roubenoff</w:t>
      </w:r>
      <w:proofErr w:type="spellEnd"/>
      <w:r>
        <w:rPr>
          <w:rFonts w:ascii="Times New Roman" w:hAnsi="Times New Roman" w:cs="Times New Roman"/>
          <w:color w:val="000000" w:themeColor="text1"/>
          <w:sz w:val="24"/>
          <w:szCs w:val="24"/>
        </w:rPr>
        <w:t>, 1992).</w:t>
      </w:r>
      <w:r w:rsidRPr="003C50C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Electromagnetic placement devices have been suggested as a replacement for radiographic confirmation of feeding tube placement at the bedside, although adverse outcomes have been reported, implying that a high level of user expertise may be necessary to obtain consistently  positive results (Metheny,2014). </w:t>
      </w:r>
    </w:p>
    <w:p w:rsidR="00CC0169" w:rsidRDefault="00CC0169" w:rsidP="000A3B14">
      <w:pPr>
        <w:spacing w:line="240" w:lineRule="auto"/>
        <w:ind w:firstLine="720"/>
        <w:jc w:val="center"/>
        <w:rPr>
          <w:rFonts w:ascii="Times New Roman" w:hAnsi="Times New Roman" w:cs="Times New Roman"/>
          <w:color w:val="000000" w:themeColor="text1"/>
          <w:sz w:val="24"/>
          <w:szCs w:val="24"/>
        </w:rPr>
      </w:pPr>
    </w:p>
    <w:p w:rsidR="00CC0169" w:rsidRDefault="00CC0169" w:rsidP="000A3B14">
      <w:pPr>
        <w:spacing w:line="240" w:lineRule="auto"/>
        <w:ind w:firstLine="720"/>
        <w:jc w:val="center"/>
        <w:rPr>
          <w:rFonts w:ascii="Times New Roman" w:hAnsi="Times New Roman" w:cs="Times New Roman"/>
          <w:color w:val="000000" w:themeColor="text1"/>
          <w:sz w:val="24"/>
          <w:szCs w:val="24"/>
        </w:rPr>
      </w:pPr>
    </w:p>
    <w:p w:rsidR="00CC0169" w:rsidRDefault="00CC0169" w:rsidP="000A3B14">
      <w:pPr>
        <w:spacing w:line="240" w:lineRule="auto"/>
        <w:ind w:firstLine="720"/>
        <w:jc w:val="center"/>
        <w:rPr>
          <w:rFonts w:ascii="Times New Roman" w:hAnsi="Times New Roman" w:cs="Times New Roman"/>
          <w:color w:val="000000" w:themeColor="text1"/>
          <w:sz w:val="24"/>
          <w:szCs w:val="24"/>
        </w:rPr>
      </w:pPr>
    </w:p>
    <w:p w:rsidR="00CC0169" w:rsidRDefault="00CC0169" w:rsidP="000A3B14">
      <w:pPr>
        <w:spacing w:line="240" w:lineRule="auto"/>
        <w:ind w:firstLine="720"/>
        <w:jc w:val="center"/>
        <w:rPr>
          <w:rFonts w:ascii="Times New Roman" w:hAnsi="Times New Roman" w:cs="Times New Roman"/>
          <w:color w:val="000000" w:themeColor="text1"/>
          <w:sz w:val="24"/>
          <w:szCs w:val="24"/>
        </w:rPr>
      </w:pPr>
    </w:p>
    <w:p w:rsidR="000A3B14" w:rsidRDefault="000A3B14" w:rsidP="00C3527E">
      <w:pPr>
        <w:spacing w:line="240" w:lineRule="auto"/>
        <w:ind w:firstLine="72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References</w:t>
      </w:r>
    </w:p>
    <w:p w:rsidR="00CC0169" w:rsidRDefault="003C368F" w:rsidP="00C3527E">
      <w:pPr>
        <w:spacing w:before="200" w:after="0" w:line="240" w:lineRule="auto"/>
        <w:ind w:left="360" w:hanging="720"/>
        <w:rPr>
          <w:rFonts w:ascii="Times New Roman" w:hAnsi="Times New Roman" w:cs="Times New Roman"/>
          <w:i/>
          <w:iCs/>
          <w:sz w:val="24"/>
          <w:szCs w:val="24"/>
        </w:rPr>
      </w:pPr>
      <w:r>
        <w:rPr>
          <w:rFonts w:ascii="Times New Roman" w:eastAsiaTheme="majorEastAsia" w:hAnsi="Times New Roman" w:cs="Times New Roman"/>
          <w:color w:val="000000" w:themeColor="text1"/>
          <w:kern w:val="24"/>
          <w:sz w:val="24"/>
          <w:szCs w:val="24"/>
        </w:rPr>
        <w:t xml:space="preserve">      </w:t>
      </w:r>
      <w:r w:rsidR="00D907A4" w:rsidRPr="002C12B2">
        <w:rPr>
          <w:rFonts w:ascii="Times New Roman" w:hAnsi="Times New Roman" w:cs="Times New Roman"/>
          <w:sz w:val="24"/>
          <w:szCs w:val="24"/>
        </w:rPr>
        <w:t xml:space="preserve">Creel, A. M., &amp; Winkler, M. K. (2007). </w:t>
      </w:r>
      <w:r w:rsidR="00D907A4" w:rsidRPr="002C12B2">
        <w:rPr>
          <w:rFonts w:ascii="Times New Roman" w:hAnsi="Times New Roman" w:cs="Times New Roman"/>
          <w:i/>
          <w:iCs/>
          <w:sz w:val="24"/>
          <w:szCs w:val="24"/>
        </w:rPr>
        <w:t>Oral and nasal enteral tube placement errors and complications in a pediatric intensive care unit</w:t>
      </w:r>
    </w:p>
    <w:p w:rsidR="00CC0169" w:rsidRPr="003C50C0" w:rsidRDefault="00CC0169" w:rsidP="00C3527E">
      <w:pPr>
        <w:spacing w:before="200" w:after="0" w:line="240" w:lineRule="auto"/>
        <w:ind w:left="360" w:hanging="720"/>
        <w:rPr>
          <w:rFonts w:ascii="Times New Roman" w:eastAsiaTheme="majorEastAsia" w:hAnsi="Times New Roman" w:cs="Times New Roman"/>
          <w:color w:val="000000" w:themeColor="text1"/>
          <w:kern w:val="24"/>
          <w:sz w:val="24"/>
          <w:szCs w:val="24"/>
        </w:rPr>
      </w:pPr>
      <w:r>
        <w:rPr>
          <w:rFonts w:ascii="Times New Roman" w:eastAsiaTheme="majorEastAsia" w:hAnsi="Times New Roman" w:cs="Times New Roman"/>
          <w:color w:val="000000" w:themeColor="text1"/>
          <w:kern w:val="24"/>
          <w:sz w:val="24"/>
          <w:szCs w:val="24"/>
        </w:rPr>
        <w:t xml:space="preserve">      </w:t>
      </w:r>
      <w:r w:rsidRPr="003C50C0">
        <w:rPr>
          <w:rFonts w:ascii="Times New Roman" w:eastAsiaTheme="majorEastAsia" w:hAnsi="Times New Roman" w:cs="Times New Roman"/>
          <w:color w:val="000000" w:themeColor="text1"/>
          <w:kern w:val="24"/>
          <w:sz w:val="24"/>
          <w:szCs w:val="24"/>
        </w:rPr>
        <w:t xml:space="preserve">Hanna, AS., </w:t>
      </w:r>
      <w:proofErr w:type="spellStart"/>
      <w:r w:rsidRPr="003C50C0">
        <w:rPr>
          <w:rFonts w:ascii="Times New Roman" w:eastAsiaTheme="majorEastAsia" w:hAnsi="Times New Roman" w:cs="Times New Roman"/>
          <w:color w:val="000000" w:themeColor="text1"/>
          <w:kern w:val="24"/>
          <w:sz w:val="24"/>
          <w:szCs w:val="24"/>
        </w:rPr>
        <w:t>Grindle</w:t>
      </w:r>
      <w:proofErr w:type="spellEnd"/>
      <w:r w:rsidRPr="003C50C0">
        <w:rPr>
          <w:rFonts w:ascii="Times New Roman" w:eastAsiaTheme="majorEastAsia" w:hAnsi="Times New Roman" w:cs="Times New Roman"/>
          <w:color w:val="000000" w:themeColor="text1"/>
          <w:kern w:val="24"/>
          <w:sz w:val="24"/>
          <w:szCs w:val="24"/>
        </w:rPr>
        <w:t xml:space="preserve">, CR., Patel, AA. Rosen, MR., Evans, JJ. (2012). Inadvertent insertion of NGT into the brain stem and spinal cord after endoscopic skull base </w:t>
      </w:r>
      <w:r w:rsidRPr="003C50C0">
        <w:rPr>
          <w:rFonts w:ascii="Times New Roman" w:eastAsiaTheme="majorEastAsia" w:hAnsi="Times New Roman" w:cs="Times New Roman"/>
          <w:color w:val="000000" w:themeColor="text1"/>
          <w:kern w:val="24"/>
          <w:sz w:val="24"/>
          <w:szCs w:val="24"/>
        </w:rPr>
        <w:tab/>
        <w:t xml:space="preserve">surgery. </w:t>
      </w:r>
      <w:r w:rsidRPr="003C50C0">
        <w:rPr>
          <w:rFonts w:ascii="Times New Roman" w:eastAsiaTheme="majorEastAsia" w:hAnsi="Times New Roman" w:cs="Times New Roman"/>
          <w:i/>
          <w:iCs/>
          <w:color w:val="000000" w:themeColor="text1"/>
          <w:kern w:val="24"/>
          <w:sz w:val="24"/>
          <w:szCs w:val="24"/>
        </w:rPr>
        <w:t>American Journal of Otolaryngology;</w:t>
      </w:r>
      <w:r w:rsidRPr="003C50C0">
        <w:rPr>
          <w:rFonts w:ascii="Times New Roman" w:eastAsiaTheme="majorEastAsia" w:hAnsi="Times New Roman" w:cs="Times New Roman"/>
          <w:color w:val="000000" w:themeColor="text1"/>
          <w:kern w:val="24"/>
          <w:sz w:val="24"/>
          <w:szCs w:val="24"/>
        </w:rPr>
        <w:t xml:space="preserve"> 33(1):178-180</w:t>
      </w:r>
    </w:p>
    <w:p w:rsidR="00CC0169" w:rsidRPr="002C12B2" w:rsidRDefault="00CC0169" w:rsidP="00C3527E">
      <w:pPr>
        <w:widowControl w:val="0"/>
        <w:autoSpaceDE w:val="0"/>
        <w:autoSpaceDN w:val="0"/>
        <w:adjustRightInd w:val="0"/>
        <w:spacing w:line="240" w:lineRule="auto"/>
        <w:ind w:left="450" w:hanging="450"/>
        <w:rPr>
          <w:rFonts w:ascii="Times New Roman" w:hAnsi="Times New Roman" w:cs="Times New Roman"/>
          <w:i/>
          <w:iCs/>
          <w:sz w:val="24"/>
          <w:szCs w:val="24"/>
        </w:rPr>
      </w:pPr>
    </w:p>
    <w:p w:rsidR="00D907A4" w:rsidRDefault="00CC0169" w:rsidP="00C3527E">
      <w:pPr>
        <w:widowControl w:val="0"/>
        <w:autoSpaceDE w:val="0"/>
        <w:autoSpaceDN w:val="0"/>
        <w:adjustRightInd w:val="0"/>
        <w:spacing w:line="240" w:lineRule="auto"/>
        <w:ind w:left="450" w:hanging="540"/>
        <w:rPr>
          <w:rFonts w:cstheme="minorHAnsi"/>
        </w:rPr>
      </w:pPr>
      <w:r>
        <w:rPr>
          <w:rFonts w:ascii="Times New Roman" w:hAnsi="Times New Roman" w:cs="Times New Roman"/>
          <w:sz w:val="24"/>
          <w:szCs w:val="24"/>
        </w:rPr>
        <w:t xml:space="preserve"> </w:t>
      </w:r>
      <w:r w:rsidR="00D907A4" w:rsidRPr="002C12B2">
        <w:rPr>
          <w:rFonts w:ascii="Times New Roman" w:hAnsi="Times New Roman" w:cs="Times New Roman"/>
          <w:sz w:val="24"/>
          <w:szCs w:val="24"/>
        </w:rPr>
        <w:t xml:space="preserve">Metheny, N. A., &amp; </w:t>
      </w:r>
      <w:proofErr w:type="spellStart"/>
      <w:r w:rsidR="00D907A4" w:rsidRPr="002C12B2">
        <w:rPr>
          <w:rFonts w:ascii="Times New Roman" w:hAnsi="Times New Roman" w:cs="Times New Roman"/>
          <w:sz w:val="24"/>
          <w:szCs w:val="24"/>
        </w:rPr>
        <w:t>Meert</w:t>
      </w:r>
      <w:proofErr w:type="spellEnd"/>
      <w:r w:rsidR="00D907A4" w:rsidRPr="002C12B2">
        <w:rPr>
          <w:rFonts w:ascii="Times New Roman" w:hAnsi="Times New Roman" w:cs="Times New Roman"/>
          <w:sz w:val="24"/>
          <w:szCs w:val="24"/>
        </w:rPr>
        <w:t>, K. L. (2014). Effectiveness of an electromagnetic feeding tube placement device in detecting inadvertent respiratory placement.</w:t>
      </w:r>
      <w:r w:rsidR="00D907A4" w:rsidRPr="002C12B2">
        <w:rPr>
          <w:rFonts w:ascii="Times New Roman" w:hAnsi="Times New Roman" w:cs="Times New Roman"/>
          <w:i/>
          <w:iCs/>
          <w:sz w:val="24"/>
          <w:szCs w:val="24"/>
        </w:rPr>
        <w:t xml:space="preserve"> American Journal of Critical Care, 23</w:t>
      </w:r>
      <w:r w:rsidR="00D907A4" w:rsidRPr="002C12B2">
        <w:rPr>
          <w:rFonts w:ascii="Times New Roman" w:hAnsi="Times New Roman" w:cs="Times New Roman"/>
          <w:sz w:val="24"/>
          <w:szCs w:val="24"/>
        </w:rPr>
        <w:t xml:space="preserve">(3), 240-248. </w:t>
      </w:r>
      <w:proofErr w:type="gramStart"/>
      <w:r w:rsidR="00D907A4" w:rsidRPr="00FA1734">
        <w:rPr>
          <w:rFonts w:cstheme="minorHAnsi"/>
        </w:rPr>
        <w:t>doi:</w:t>
      </w:r>
      <w:proofErr w:type="gramEnd"/>
      <w:r w:rsidR="00D907A4" w:rsidRPr="00FA1734">
        <w:rPr>
          <w:rFonts w:cstheme="minorHAnsi"/>
        </w:rPr>
        <w:t>10.4037/ajcc2014954</w:t>
      </w:r>
    </w:p>
    <w:p w:rsidR="008142F3" w:rsidRDefault="00CC0169" w:rsidP="00C3527E">
      <w:pPr>
        <w:widowControl w:val="0"/>
        <w:autoSpaceDE w:val="0"/>
        <w:autoSpaceDN w:val="0"/>
        <w:adjustRightInd w:val="0"/>
        <w:spacing w:line="240" w:lineRule="auto"/>
        <w:ind w:left="450" w:hanging="540"/>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8142F3" w:rsidRPr="002C12B2">
        <w:rPr>
          <w:rFonts w:ascii="Times New Roman" w:hAnsi="Times New Roman" w:cs="Times New Roman"/>
          <w:sz w:val="24"/>
          <w:szCs w:val="24"/>
        </w:rPr>
        <w:t>Mullan</w:t>
      </w:r>
      <w:proofErr w:type="spellEnd"/>
      <w:r w:rsidR="008142F3" w:rsidRPr="002C12B2">
        <w:rPr>
          <w:rFonts w:ascii="Times New Roman" w:hAnsi="Times New Roman" w:cs="Times New Roman"/>
          <w:sz w:val="24"/>
          <w:szCs w:val="24"/>
        </w:rPr>
        <w:t xml:space="preserve">, H., </w:t>
      </w:r>
      <w:proofErr w:type="spellStart"/>
      <w:r w:rsidR="008142F3" w:rsidRPr="002C12B2">
        <w:rPr>
          <w:rFonts w:ascii="Times New Roman" w:hAnsi="Times New Roman" w:cs="Times New Roman"/>
          <w:sz w:val="24"/>
          <w:szCs w:val="24"/>
        </w:rPr>
        <w:t>Roubenoff</w:t>
      </w:r>
      <w:proofErr w:type="spellEnd"/>
      <w:r w:rsidR="008142F3" w:rsidRPr="002C12B2">
        <w:rPr>
          <w:rFonts w:ascii="Times New Roman" w:hAnsi="Times New Roman" w:cs="Times New Roman"/>
          <w:sz w:val="24"/>
          <w:szCs w:val="24"/>
        </w:rPr>
        <w:t xml:space="preserve">, R. A., &amp; </w:t>
      </w:r>
      <w:proofErr w:type="spellStart"/>
      <w:r w:rsidR="008142F3" w:rsidRPr="002C12B2">
        <w:rPr>
          <w:rFonts w:ascii="Times New Roman" w:hAnsi="Times New Roman" w:cs="Times New Roman"/>
          <w:sz w:val="24"/>
          <w:szCs w:val="24"/>
        </w:rPr>
        <w:t>Roubenoff</w:t>
      </w:r>
      <w:proofErr w:type="spellEnd"/>
      <w:r w:rsidR="008142F3" w:rsidRPr="002C12B2">
        <w:rPr>
          <w:rFonts w:ascii="Times New Roman" w:hAnsi="Times New Roman" w:cs="Times New Roman"/>
          <w:sz w:val="24"/>
          <w:szCs w:val="24"/>
        </w:rPr>
        <w:t>, R. (1992). Risk of pulmonary aspiration among patients receiving enteral nutrition support.</w:t>
      </w:r>
      <w:r w:rsidR="008142F3" w:rsidRPr="002C12B2">
        <w:rPr>
          <w:rFonts w:ascii="Times New Roman" w:hAnsi="Times New Roman" w:cs="Times New Roman"/>
          <w:i/>
          <w:iCs/>
          <w:sz w:val="24"/>
          <w:szCs w:val="24"/>
        </w:rPr>
        <w:t xml:space="preserve"> </w:t>
      </w:r>
      <w:proofErr w:type="spellStart"/>
      <w:r w:rsidR="008142F3" w:rsidRPr="002C12B2">
        <w:rPr>
          <w:rFonts w:ascii="Times New Roman" w:hAnsi="Times New Roman" w:cs="Times New Roman"/>
          <w:i/>
          <w:iCs/>
          <w:sz w:val="24"/>
          <w:szCs w:val="24"/>
        </w:rPr>
        <w:t>JPEN.Journal</w:t>
      </w:r>
      <w:proofErr w:type="spellEnd"/>
      <w:r w:rsidR="008142F3" w:rsidRPr="002C12B2">
        <w:rPr>
          <w:rFonts w:ascii="Times New Roman" w:hAnsi="Times New Roman" w:cs="Times New Roman"/>
          <w:i/>
          <w:iCs/>
          <w:sz w:val="24"/>
          <w:szCs w:val="24"/>
        </w:rPr>
        <w:t xml:space="preserve"> of Parenteral and Enteral Nutrition, 16</w:t>
      </w:r>
      <w:r w:rsidR="008142F3" w:rsidRPr="002C12B2">
        <w:rPr>
          <w:rFonts w:ascii="Times New Roman" w:hAnsi="Times New Roman" w:cs="Times New Roman"/>
          <w:sz w:val="24"/>
          <w:szCs w:val="24"/>
        </w:rPr>
        <w:t>(2), 160-164.</w:t>
      </w:r>
    </w:p>
    <w:p w:rsidR="003C368F" w:rsidRDefault="003C368F" w:rsidP="00C3527E">
      <w:pPr>
        <w:spacing w:before="200" w:after="0" w:line="240" w:lineRule="auto"/>
        <w:ind w:left="360" w:hanging="720"/>
        <w:rPr>
          <w:rFonts w:ascii="Times New Roman" w:eastAsiaTheme="majorEastAsia" w:hAnsi="Times New Roman" w:cs="Times New Roman"/>
          <w:color w:val="000000" w:themeColor="text1"/>
          <w:kern w:val="24"/>
          <w:sz w:val="24"/>
          <w:szCs w:val="24"/>
        </w:rPr>
      </w:pPr>
      <w:r>
        <w:rPr>
          <w:rFonts w:ascii="Times New Roman" w:eastAsiaTheme="majorEastAsia" w:hAnsi="Times New Roman" w:cs="Times New Roman"/>
          <w:color w:val="000000" w:themeColor="text1"/>
          <w:kern w:val="24"/>
          <w:sz w:val="24"/>
          <w:szCs w:val="24"/>
        </w:rPr>
        <w:t xml:space="preserve">     </w:t>
      </w:r>
      <w:r w:rsidRPr="003C368F">
        <w:rPr>
          <w:rFonts w:ascii="Times New Roman" w:eastAsiaTheme="majorEastAsia" w:hAnsi="Times New Roman" w:cs="Times New Roman"/>
          <w:color w:val="000000" w:themeColor="text1"/>
          <w:kern w:val="24"/>
          <w:sz w:val="24"/>
          <w:szCs w:val="24"/>
        </w:rPr>
        <w:t xml:space="preserve">Pillai, JB., Vegas, A., </w:t>
      </w:r>
      <w:proofErr w:type="spellStart"/>
      <w:r w:rsidRPr="003C368F">
        <w:rPr>
          <w:rFonts w:ascii="Times New Roman" w:eastAsiaTheme="majorEastAsia" w:hAnsi="Times New Roman" w:cs="Times New Roman"/>
          <w:color w:val="000000" w:themeColor="text1"/>
          <w:kern w:val="24"/>
          <w:sz w:val="24"/>
          <w:szCs w:val="24"/>
        </w:rPr>
        <w:t>Brister</w:t>
      </w:r>
      <w:proofErr w:type="spellEnd"/>
      <w:r w:rsidRPr="003C368F">
        <w:rPr>
          <w:rFonts w:ascii="Times New Roman" w:eastAsiaTheme="majorEastAsia" w:hAnsi="Times New Roman" w:cs="Times New Roman"/>
          <w:color w:val="000000" w:themeColor="text1"/>
          <w:kern w:val="24"/>
          <w:sz w:val="24"/>
          <w:szCs w:val="24"/>
        </w:rPr>
        <w:t>, S. (2005). Thoracic complications of nasogastric tube: review of the practice. Interactions in Cardiovascular Thoracic Surgery; 4(5):429-433</w:t>
      </w:r>
    </w:p>
    <w:p w:rsidR="00D907A4" w:rsidRPr="00FA1734" w:rsidRDefault="00D752EB" w:rsidP="00C3527E">
      <w:pPr>
        <w:pStyle w:val="NormalWeb"/>
        <w:spacing w:before="200" w:beforeAutospacing="0" w:after="0" w:afterAutospacing="0"/>
        <w:ind w:left="360" w:hanging="720"/>
        <w:rPr>
          <w:rFonts w:cstheme="minorHAnsi"/>
        </w:rPr>
      </w:pPr>
      <w:r>
        <w:rPr>
          <w:rFonts w:eastAsiaTheme="majorEastAsia"/>
          <w:color w:val="000000" w:themeColor="text1"/>
          <w:kern w:val="24"/>
        </w:rPr>
        <w:t xml:space="preserve">     </w:t>
      </w:r>
      <w:r w:rsidRPr="00D752EB">
        <w:rPr>
          <w:rFonts w:eastAsiaTheme="majorEastAsia"/>
          <w:color w:val="000000" w:themeColor="text1"/>
          <w:kern w:val="24"/>
        </w:rPr>
        <w:t xml:space="preserve">Rahimi, M., </w:t>
      </w:r>
      <w:proofErr w:type="spellStart"/>
      <w:r w:rsidRPr="00D752EB">
        <w:rPr>
          <w:rFonts w:eastAsiaTheme="majorEastAsia"/>
          <w:color w:val="000000" w:themeColor="text1"/>
          <w:kern w:val="24"/>
        </w:rPr>
        <w:t>Boroojeny</w:t>
      </w:r>
      <w:proofErr w:type="spellEnd"/>
      <w:r w:rsidRPr="00D752EB">
        <w:rPr>
          <w:rFonts w:eastAsiaTheme="majorEastAsia"/>
          <w:color w:val="000000" w:themeColor="text1"/>
          <w:kern w:val="24"/>
        </w:rPr>
        <w:t xml:space="preserve">, SB., </w:t>
      </w:r>
      <w:proofErr w:type="spellStart"/>
      <w:r w:rsidRPr="00D752EB">
        <w:rPr>
          <w:rFonts w:eastAsiaTheme="majorEastAsia"/>
          <w:color w:val="000000" w:themeColor="text1"/>
          <w:kern w:val="24"/>
        </w:rPr>
        <w:t>Moghtaderi</w:t>
      </w:r>
      <w:proofErr w:type="spellEnd"/>
      <w:r w:rsidRPr="00D752EB">
        <w:rPr>
          <w:rFonts w:eastAsiaTheme="majorEastAsia"/>
          <w:color w:val="000000" w:themeColor="text1"/>
          <w:kern w:val="24"/>
        </w:rPr>
        <w:t xml:space="preserve">, A. et al. (2005). Intracranial placement of a nasogastric tube: a lesson to be re-learnt? </w:t>
      </w:r>
      <w:proofErr w:type="spellStart"/>
      <w:r w:rsidRPr="00D752EB">
        <w:rPr>
          <w:rFonts w:eastAsiaTheme="majorEastAsia"/>
          <w:color w:val="000000" w:themeColor="text1"/>
          <w:kern w:val="24"/>
        </w:rPr>
        <w:t>Acta</w:t>
      </w:r>
      <w:proofErr w:type="spellEnd"/>
      <w:r w:rsidRPr="00D752EB">
        <w:rPr>
          <w:rFonts w:eastAsiaTheme="majorEastAsia"/>
          <w:color w:val="000000" w:themeColor="text1"/>
          <w:kern w:val="24"/>
        </w:rPr>
        <w:t xml:space="preserve"> </w:t>
      </w:r>
      <w:proofErr w:type="spellStart"/>
      <w:r w:rsidRPr="00D752EB">
        <w:rPr>
          <w:rFonts w:eastAsiaTheme="majorEastAsia"/>
          <w:color w:val="000000" w:themeColor="text1"/>
          <w:kern w:val="24"/>
        </w:rPr>
        <w:t>Neurochirurgica</w:t>
      </w:r>
      <w:proofErr w:type="spellEnd"/>
      <w:r w:rsidRPr="00D752EB">
        <w:rPr>
          <w:rFonts w:eastAsiaTheme="majorEastAsia"/>
          <w:color w:val="000000" w:themeColor="text1"/>
          <w:kern w:val="24"/>
        </w:rPr>
        <w:t xml:space="preserve"> (Wien); 147:573-574</w:t>
      </w:r>
    </w:p>
    <w:p w:rsidR="00D907A4" w:rsidRPr="002C12B2" w:rsidRDefault="00D907A4" w:rsidP="00C3527E">
      <w:pPr>
        <w:widowControl w:val="0"/>
        <w:autoSpaceDE w:val="0"/>
        <w:autoSpaceDN w:val="0"/>
        <w:adjustRightInd w:val="0"/>
        <w:spacing w:line="240" w:lineRule="auto"/>
        <w:ind w:left="450" w:hanging="540"/>
        <w:rPr>
          <w:rFonts w:ascii="Times New Roman" w:hAnsi="Times New Roman" w:cs="Times New Roman"/>
          <w:sz w:val="24"/>
          <w:szCs w:val="24"/>
        </w:rPr>
      </w:pPr>
      <w:r w:rsidRPr="002C12B2">
        <w:rPr>
          <w:rFonts w:ascii="Times New Roman" w:hAnsi="Times New Roman" w:cs="Times New Roman"/>
          <w:sz w:val="24"/>
          <w:szCs w:val="24"/>
        </w:rPr>
        <w:t xml:space="preserve">Roberts, S., Echeverria, P., &amp; Gabriel, S. A. (2007). </w:t>
      </w:r>
      <w:r w:rsidRPr="002C12B2">
        <w:rPr>
          <w:rFonts w:ascii="Times New Roman" w:hAnsi="Times New Roman" w:cs="Times New Roman"/>
          <w:i/>
          <w:iCs/>
          <w:sz w:val="24"/>
          <w:szCs w:val="24"/>
        </w:rPr>
        <w:t>Devices and techniques for bedside enteral feeding tube placement</w:t>
      </w:r>
    </w:p>
    <w:p w:rsidR="00D907A4" w:rsidRDefault="00D907A4" w:rsidP="00C3527E">
      <w:pPr>
        <w:widowControl w:val="0"/>
        <w:autoSpaceDE w:val="0"/>
        <w:autoSpaceDN w:val="0"/>
        <w:adjustRightInd w:val="0"/>
        <w:spacing w:line="240" w:lineRule="auto"/>
        <w:ind w:left="450" w:hanging="540"/>
        <w:rPr>
          <w:rFonts w:ascii="Times New Roman" w:hAnsi="Times New Roman" w:cs="Times New Roman"/>
          <w:sz w:val="24"/>
          <w:szCs w:val="24"/>
        </w:rPr>
      </w:pPr>
      <w:r w:rsidRPr="002C12B2">
        <w:rPr>
          <w:rFonts w:ascii="Times New Roman" w:hAnsi="Times New Roman" w:cs="Times New Roman"/>
          <w:sz w:val="24"/>
          <w:szCs w:val="24"/>
        </w:rPr>
        <w:t>Sackett, D. L., Rosenberg, W. M., Gray, J. A., Haynes, R. B., &amp; Richardson, W. S. (2007). Evidence based medicine: What it is and what it isn't. 1996.</w:t>
      </w:r>
      <w:r w:rsidRPr="002C12B2">
        <w:rPr>
          <w:rFonts w:ascii="Times New Roman" w:hAnsi="Times New Roman" w:cs="Times New Roman"/>
          <w:i/>
          <w:iCs/>
          <w:sz w:val="24"/>
          <w:szCs w:val="24"/>
        </w:rPr>
        <w:t xml:space="preserve"> Clinical </w:t>
      </w:r>
      <w:proofErr w:type="spellStart"/>
      <w:r w:rsidRPr="002C12B2">
        <w:rPr>
          <w:rFonts w:ascii="Times New Roman" w:hAnsi="Times New Roman" w:cs="Times New Roman"/>
          <w:i/>
          <w:iCs/>
          <w:sz w:val="24"/>
          <w:szCs w:val="24"/>
        </w:rPr>
        <w:t>Orthopaedics</w:t>
      </w:r>
      <w:proofErr w:type="spellEnd"/>
      <w:r w:rsidRPr="002C12B2">
        <w:rPr>
          <w:rFonts w:ascii="Times New Roman" w:hAnsi="Times New Roman" w:cs="Times New Roman"/>
          <w:i/>
          <w:iCs/>
          <w:sz w:val="24"/>
          <w:szCs w:val="24"/>
        </w:rPr>
        <w:t xml:space="preserve"> and Related Research, 455</w:t>
      </w:r>
      <w:r w:rsidRPr="002C12B2">
        <w:rPr>
          <w:rFonts w:ascii="Times New Roman" w:hAnsi="Times New Roman" w:cs="Times New Roman"/>
          <w:sz w:val="24"/>
          <w:szCs w:val="24"/>
        </w:rPr>
        <w:t>, 3-5.</w:t>
      </w:r>
    </w:p>
    <w:p w:rsidR="00D907A4" w:rsidRPr="002C12B2" w:rsidRDefault="00CC0169" w:rsidP="00C3527E">
      <w:pPr>
        <w:spacing w:before="200" w:after="0" w:line="240" w:lineRule="auto"/>
        <w:ind w:left="360" w:hanging="720"/>
        <w:rPr>
          <w:rFonts w:ascii="Times New Roman" w:hAnsi="Times New Roman" w:cs="Times New Roman"/>
          <w:color w:val="000000" w:themeColor="text1"/>
          <w:sz w:val="24"/>
          <w:szCs w:val="24"/>
        </w:rPr>
      </w:pPr>
      <w:r>
        <w:rPr>
          <w:rFonts w:ascii="Times New Roman" w:eastAsiaTheme="minorEastAsia" w:hAnsi="Times New Roman" w:cs="Times New Roman"/>
          <w:color w:val="000000" w:themeColor="text1"/>
          <w:kern w:val="24"/>
          <w:sz w:val="24"/>
          <w:szCs w:val="24"/>
        </w:rPr>
        <w:t xml:space="preserve">     </w:t>
      </w:r>
      <w:r w:rsidRPr="00CC0169">
        <w:rPr>
          <w:rFonts w:ascii="Times New Roman" w:eastAsiaTheme="minorEastAsia" w:hAnsi="Times New Roman" w:cs="Times New Roman"/>
          <w:color w:val="000000" w:themeColor="text1"/>
          <w:kern w:val="24"/>
          <w:sz w:val="24"/>
          <w:szCs w:val="24"/>
        </w:rPr>
        <w:t xml:space="preserve">Taylor, SJ. (2014) </w:t>
      </w:r>
      <w:r w:rsidRPr="00CC0169">
        <w:rPr>
          <w:rFonts w:ascii="Times New Roman" w:eastAsiaTheme="minorEastAsia" w:hAnsi="Times New Roman" w:cs="Times New Roman"/>
          <w:i/>
          <w:iCs/>
          <w:color w:val="000000" w:themeColor="text1"/>
          <w:kern w:val="24"/>
          <w:sz w:val="24"/>
          <w:szCs w:val="24"/>
        </w:rPr>
        <w:t>Cortrak tube placement: Advanced training</w:t>
      </w:r>
      <w:r w:rsidRPr="00CC0169">
        <w:rPr>
          <w:rFonts w:ascii="Times New Roman" w:eastAsiaTheme="minorEastAsia" w:hAnsi="Times New Roman" w:cs="Times New Roman"/>
          <w:color w:val="000000" w:themeColor="text1"/>
          <w:kern w:val="24"/>
          <w:sz w:val="24"/>
          <w:szCs w:val="24"/>
        </w:rPr>
        <w:t>. Silhouette Publications, UK ISBN: 978-0-9754558-3-2</w:t>
      </w:r>
    </w:p>
    <w:p w:rsidR="000A3B14" w:rsidRPr="002C12B2" w:rsidRDefault="000A3B14" w:rsidP="00C3527E">
      <w:pPr>
        <w:widowControl w:val="0"/>
        <w:autoSpaceDE w:val="0"/>
        <w:autoSpaceDN w:val="0"/>
        <w:adjustRightInd w:val="0"/>
        <w:spacing w:line="240" w:lineRule="auto"/>
        <w:ind w:left="450" w:hanging="450"/>
        <w:rPr>
          <w:rFonts w:ascii="Times New Roman" w:hAnsi="Times New Roman" w:cs="Times New Roman"/>
          <w:sz w:val="24"/>
          <w:szCs w:val="24"/>
        </w:rPr>
      </w:pPr>
      <w:r w:rsidRPr="002C12B2">
        <w:rPr>
          <w:rFonts w:ascii="Times New Roman" w:hAnsi="Times New Roman" w:cs="Times New Roman"/>
          <w:sz w:val="24"/>
          <w:szCs w:val="24"/>
        </w:rPr>
        <w:t xml:space="preserve">Weinberg, L., &amp; </w:t>
      </w:r>
      <w:proofErr w:type="spellStart"/>
      <w:r w:rsidRPr="002C12B2">
        <w:rPr>
          <w:rFonts w:ascii="Times New Roman" w:hAnsi="Times New Roman" w:cs="Times New Roman"/>
          <w:sz w:val="24"/>
          <w:szCs w:val="24"/>
        </w:rPr>
        <w:t>Skewes</w:t>
      </w:r>
      <w:proofErr w:type="spellEnd"/>
      <w:r w:rsidRPr="002C12B2">
        <w:rPr>
          <w:rFonts w:ascii="Times New Roman" w:hAnsi="Times New Roman" w:cs="Times New Roman"/>
          <w:sz w:val="24"/>
          <w:szCs w:val="24"/>
        </w:rPr>
        <w:t xml:space="preserve">, D. (2006). </w:t>
      </w:r>
      <w:r w:rsidRPr="002C12B2">
        <w:rPr>
          <w:rFonts w:ascii="Times New Roman" w:hAnsi="Times New Roman" w:cs="Times New Roman"/>
          <w:i/>
          <w:iCs/>
          <w:sz w:val="24"/>
          <w:szCs w:val="24"/>
        </w:rPr>
        <w:t xml:space="preserve">Pneumothorax from </w:t>
      </w:r>
      <w:proofErr w:type="spellStart"/>
      <w:r w:rsidRPr="002C12B2">
        <w:rPr>
          <w:rFonts w:ascii="Times New Roman" w:hAnsi="Times New Roman" w:cs="Times New Roman"/>
          <w:i/>
          <w:iCs/>
          <w:sz w:val="24"/>
          <w:szCs w:val="24"/>
        </w:rPr>
        <w:t>intrapleural</w:t>
      </w:r>
      <w:proofErr w:type="spellEnd"/>
      <w:r w:rsidRPr="002C12B2">
        <w:rPr>
          <w:rFonts w:ascii="Times New Roman" w:hAnsi="Times New Roman" w:cs="Times New Roman"/>
          <w:i/>
          <w:iCs/>
          <w:sz w:val="24"/>
          <w:szCs w:val="24"/>
        </w:rPr>
        <w:t xml:space="preserve"> placement of a nasogastric tube</w:t>
      </w:r>
    </w:p>
    <w:p w:rsidR="000A3B14" w:rsidRDefault="000A3B14" w:rsidP="00C3527E">
      <w:pPr>
        <w:spacing w:line="240" w:lineRule="auto"/>
        <w:rPr>
          <w:rFonts w:ascii="Times New Roman" w:hAnsi="Times New Roman" w:cs="Times New Roman"/>
          <w:color w:val="000000" w:themeColor="text1"/>
          <w:sz w:val="24"/>
          <w:szCs w:val="24"/>
        </w:rPr>
      </w:pPr>
    </w:p>
    <w:p w:rsidR="00B61499" w:rsidRPr="000667C9" w:rsidRDefault="003C5E39" w:rsidP="003C5E39">
      <w:pPr>
        <w:spacing w:line="240" w:lineRule="auto"/>
        <w:rPr>
          <w:rFonts w:ascii="Times New Roman" w:hAnsi="Times New Roman" w:cs="Times New Roman"/>
          <w:b/>
          <w:color w:val="000000" w:themeColor="text1"/>
          <w:sz w:val="24"/>
          <w:szCs w:val="24"/>
        </w:rPr>
      </w:pPr>
      <w:r w:rsidRPr="000667C9">
        <w:rPr>
          <w:rFonts w:ascii="Times New Roman" w:hAnsi="Times New Roman" w:cs="Times New Roman"/>
          <w:b/>
          <w:color w:val="000000" w:themeColor="text1"/>
          <w:sz w:val="24"/>
          <w:szCs w:val="24"/>
        </w:rPr>
        <w:t>Biography</w:t>
      </w:r>
      <w:r w:rsidR="00B61499" w:rsidRPr="000667C9">
        <w:rPr>
          <w:rFonts w:ascii="Times New Roman" w:hAnsi="Times New Roman" w:cs="Times New Roman"/>
          <w:b/>
          <w:color w:val="000000" w:themeColor="text1"/>
          <w:sz w:val="24"/>
          <w:szCs w:val="24"/>
        </w:rPr>
        <w:t xml:space="preserve">  </w:t>
      </w:r>
    </w:p>
    <w:p w:rsidR="003C5E39" w:rsidRDefault="003C5E39" w:rsidP="003C5E39">
      <w:pPr>
        <w:spacing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Constantin Vintilescu RN, MSN Critical Care nurse in Intensive Care Unit at Veteran Administration Hospital, New Jersey, and Trinitas Regional Medical center .Adjunct faculty instructor in Trinitas Regional Medical Center School of Nursing, Elizabeth, New Jersey. </w:t>
      </w:r>
      <w:r w:rsidR="000667C9">
        <w:rPr>
          <w:rFonts w:ascii="Times New Roman" w:hAnsi="Times New Roman" w:cs="Times New Roman"/>
          <w:color w:val="000000" w:themeColor="text1"/>
          <w:sz w:val="24"/>
          <w:szCs w:val="24"/>
        </w:rPr>
        <w:t xml:space="preserve">Currently I am a DNP student at Rutgers University School of Nursing Newark, New Jersey. </w:t>
      </w:r>
      <w:r>
        <w:rPr>
          <w:rFonts w:ascii="Times New Roman" w:hAnsi="Times New Roman" w:cs="Times New Roman"/>
          <w:color w:val="000000" w:themeColor="text1"/>
          <w:sz w:val="24"/>
          <w:szCs w:val="24"/>
        </w:rPr>
        <w:t>I have published two articles in Nursing Journals.</w:t>
      </w:r>
    </w:p>
    <w:p w:rsidR="000667C9" w:rsidRPr="003C50C0" w:rsidRDefault="000667C9" w:rsidP="003C5E39">
      <w:pPr>
        <w:spacing w:line="240" w:lineRule="auto"/>
        <w:rPr>
          <w:rFonts w:ascii="Times New Roman" w:eastAsiaTheme="minorEastAsia" w:hAnsi="Times New Roman" w:cs="Times New Roman"/>
          <w:color w:val="000000" w:themeColor="text1"/>
          <w:kern w:val="24"/>
          <w:sz w:val="24"/>
          <w:szCs w:val="24"/>
        </w:rPr>
      </w:pPr>
      <w:r>
        <w:rPr>
          <w:rFonts w:ascii="Times New Roman" w:hAnsi="Times New Roman" w:cs="Times New Roman"/>
          <w:color w:val="000000" w:themeColor="text1"/>
          <w:sz w:val="24"/>
          <w:szCs w:val="24"/>
        </w:rPr>
        <w:t>1.</w:t>
      </w:r>
      <w:r w:rsidRPr="000667C9">
        <w:rPr>
          <w:rFonts w:ascii="Times New Roman" w:hAnsi="Times New Roman" w:cs="Times New Roman"/>
          <w:b/>
          <w:color w:val="000000" w:themeColor="text1"/>
          <w:sz w:val="24"/>
          <w:szCs w:val="24"/>
        </w:rPr>
        <w:t xml:space="preserve"> Harold’s Story</w:t>
      </w:r>
      <w:r>
        <w:rPr>
          <w:rFonts w:ascii="Times New Roman" w:hAnsi="Times New Roman" w:cs="Times New Roman"/>
          <w:color w:val="000000" w:themeColor="text1"/>
          <w:sz w:val="24"/>
          <w:szCs w:val="24"/>
        </w:rPr>
        <w:t xml:space="preserve">, in the Student Voice section of </w:t>
      </w:r>
      <w:r w:rsidRPr="00877EB8">
        <w:rPr>
          <w:rFonts w:ascii="Times New Roman" w:hAnsi="Times New Roman" w:cs="Times New Roman"/>
          <w:b/>
          <w:i/>
          <w:color w:val="000000" w:themeColor="text1"/>
          <w:sz w:val="24"/>
          <w:szCs w:val="24"/>
        </w:rPr>
        <w:t xml:space="preserve">Creative </w:t>
      </w:r>
      <w:r w:rsidR="00877EB8" w:rsidRPr="00877EB8">
        <w:rPr>
          <w:rFonts w:ascii="Times New Roman" w:hAnsi="Times New Roman" w:cs="Times New Roman"/>
          <w:b/>
          <w:i/>
          <w:color w:val="000000" w:themeColor="text1"/>
          <w:sz w:val="24"/>
          <w:szCs w:val="24"/>
        </w:rPr>
        <w:t>Nursing</w:t>
      </w:r>
      <w:r w:rsidR="00877EB8">
        <w:rPr>
          <w:rFonts w:ascii="Times New Roman" w:hAnsi="Times New Roman" w:cs="Times New Roman"/>
          <w:color w:val="000000" w:themeColor="text1"/>
          <w:sz w:val="24"/>
          <w:szCs w:val="24"/>
        </w:rPr>
        <w:t>, Volume 19, Issue3, 2013</w:t>
      </w:r>
    </w:p>
    <w:p w:rsidR="005B065E" w:rsidRPr="005B065E" w:rsidRDefault="00877EB8" w:rsidP="005B065E">
      <w:pPr>
        <w:spacing w:line="240" w:lineRule="auto"/>
        <w:rPr>
          <w:rFonts w:ascii="Times New Roman" w:hAnsi="Times New Roman" w:cs="Times New Roman"/>
          <w:sz w:val="24"/>
          <w:szCs w:val="24"/>
        </w:rPr>
      </w:pPr>
      <w:r>
        <w:rPr>
          <w:rFonts w:ascii="Times New Roman" w:hAnsi="Times New Roman" w:cs="Times New Roman"/>
          <w:sz w:val="24"/>
          <w:szCs w:val="24"/>
        </w:rPr>
        <w:t xml:space="preserve">2. </w:t>
      </w:r>
      <w:r w:rsidRPr="00877EB8">
        <w:rPr>
          <w:rFonts w:ascii="Times New Roman" w:hAnsi="Times New Roman" w:cs="Times New Roman"/>
          <w:b/>
          <w:sz w:val="24"/>
          <w:szCs w:val="24"/>
        </w:rPr>
        <w:t>Simulation: A learning Tool for OB Nurses</w:t>
      </w:r>
      <w:r>
        <w:rPr>
          <w:rFonts w:ascii="Times New Roman" w:hAnsi="Times New Roman" w:cs="Times New Roman"/>
          <w:sz w:val="24"/>
          <w:szCs w:val="24"/>
        </w:rPr>
        <w:t xml:space="preserve"> in the Journal of Nursing Practice Application</w:t>
      </w:r>
      <w:r w:rsidR="00467762">
        <w:rPr>
          <w:rFonts w:ascii="Times New Roman" w:hAnsi="Times New Roman" w:cs="Times New Roman"/>
          <w:sz w:val="24"/>
          <w:szCs w:val="24"/>
        </w:rPr>
        <w:t>s &amp; Reviews of Research, Vol 3 No 2, July 2013. This was a collaborative study with two of my classmates from Grad School (Monina A. Franco-</w:t>
      </w:r>
      <w:proofErr w:type="spellStart"/>
      <w:r w:rsidR="00467762">
        <w:rPr>
          <w:rFonts w:ascii="Times New Roman" w:hAnsi="Times New Roman" w:cs="Times New Roman"/>
          <w:sz w:val="24"/>
          <w:szCs w:val="24"/>
        </w:rPr>
        <w:t>Tantuico</w:t>
      </w:r>
      <w:proofErr w:type="spellEnd"/>
      <w:r w:rsidR="00467762">
        <w:rPr>
          <w:rFonts w:ascii="Times New Roman" w:hAnsi="Times New Roman" w:cs="Times New Roman"/>
          <w:sz w:val="24"/>
          <w:szCs w:val="24"/>
        </w:rPr>
        <w:t xml:space="preserve"> and Luz- Patricia Torres </w:t>
      </w:r>
    </w:p>
    <w:p w:rsidR="00467762" w:rsidRDefault="00467762" w:rsidP="00823C8F">
      <w:pPr>
        <w:spacing w:line="24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Author details:</w:t>
      </w:r>
    </w:p>
    <w:p w:rsidR="00467762" w:rsidRDefault="00467762" w:rsidP="00823C8F">
      <w:pPr>
        <w:spacing w:line="240" w:lineRule="auto"/>
        <w:rPr>
          <w:rFonts w:ascii="Times New Roman" w:hAnsi="Times New Roman" w:cs="Times New Roman"/>
          <w:sz w:val="24"/>
          <w:szCs w:val="24"/>
        </w:rPr>
      </w:pPr>
      <w:r>
        <w:rPr>
          <w:rFonts w:ascii="Times New Roman" w:hAnsi="Times New Roman" w:cs="Times New Roman"/>
          <w:sz w:val="24"/>
          <w:szCs w:val="24"/>
        </w:rPr>
        <w:t>Constantin Vintilescu RN, MSN</w:t>
      </w:r>
    </w:p>
    <w:p w:rsidR="00467762" w:rsidRDefault="00467762" w:rsidP="00823C8F">
      <w:pPr>
        <w:spacing w:line="240" w:lineRule="auto"/>
        <w:rPr>
          <w:rFonts w:ascii="Times New Roman" w:hAnsi="Times New Roman" w:cs="Times New Roman"/>
          <w:sz w:val="24"/>
          <w:szCs w:val="24"/>
        </w:rPr>
      </w:pPr>
      <w:r>
        <w:rPr>
          <w:rFonts w:ascii="Times New Roman" w:hAnsi="Times New Roman" w:cs="Times New Roman"/>
          <w:sz w:val="24"/>
          <w:szCs w:val="24"/>
        </w:rPr>
        <w:t>Phone: 732-829-7267</w:t>
      </w:r>
    </w:p>
    <w:p w:rsidR="00467762" w:rsidRDefault="00467762" w:rsidP="00823C8F">
      <w:pPr>
        <w:spacing w:line="240" w:lineRule="auto"/>
        <w:rPr>
          <w:rFonts w:ascii="Times New Roman" w:hAnsi="Times New Roman" w:cs="Times New Roman"/>
          <w:sz w:val="24"/>
          <w:szCs w:val="24"/>
        </w:rPr>
      </w:pPr>
      <w:r>
        <w:rPr>
          <w:rFonts w:ascii="Times New Roman" w:hAnsi="Times New Roman" w:cs="Times New Roman"/>
          <w:sz w:val="24"/>
          <w:szCs w:val="24"/>
        </w:rPr>
        <w:t xml:space="preserve">Email: </w:t>
      </w:r>
      <w:hyperlink r:id="rId6" w:history="1">
        <w:r w:rsidRPr="00AB6844">
          <w:rPr>
            <w:rStyle w:val="Hyperlink"/>
            <w:rFonts w:ascii="Times New Roman" w:hAnsi="Times New Roman" w:cs="Times New Roman"/>
            <w:sz w:val="24"/>
            <w:szCs w:val="24"/>
          </w:rPr>
          <w:t>costinvintilescu@yahoo.com</w:t>
        </w:r>
      </w:hyperlink>
    </w:p>
    <w:p w:rsidR="00467762" w:rsidRDefault="00467762" w:rsidP="00823C8F">
      <w:pPr>
        <w:spacing w:line="240" w:lineRule="auto"/>
        <w:rPr>
          <w:rFonts w:ascii="Times New Roman" w:hAnsi="Times New Roman" w:cs="Times New Roman"/>
          <w:sz w:val="24"/>
          <w:szCs w:val="24"/>
        </w:rPr>
      </w:pPr>
      <w:r>
        <w:rPr>
          <w:rFonts w:ascii="Times New Roman" w:hAnsi="Times New Roman" w:cs="Times New Roman"/>
          <w:sz w:val="24"/>
          <w:szCs w:val="24"/>
        </w:rPr>
        <w:t xml:space="preserve">Oral and Poster Presentation </w:t>
      </w:r>
    </w:p>
    <w:p w:rsidR="00A305A6" w:rsidRDefault="00A305A6" w:rsidP="00823C8F">
      <w:pPr>
        <w:spacing w:line="240" w:lineRule="auto"/>
        <w:rPr>
          <w:rFonts w:ascii="Times New Roman" w:hAnsi="Times New Roman" w:cs="Times New Roman"/>
          <w:sz w:val="24"/>
          <w:szCs w:val="24"/>
        </w:rPr>
      </w:pPr>
    </w:p>
    <w:p w:rsidR="00467762" w:rsidRDefault="00A305A6" w:rsidP="00823C8F">
      <w:pPr>
        <w:spacing w:line="240" w:lineRule="auto"/>
        <w:rPr>
          <w:rFonts w:ascii="Times New Roman" w:hAnsi="Times New Roman" w:cs="Times New Roman"/>
          <w:sz w:val="24"/>
          <w:szCs w:val="24"/>
        </w:rPr>
      </w:pPr>
      <w:r>
        <w:rPr>
          <w:noProof/>
        </w:rPr>
        <mc:AlternateContent>
          <mc:Choice Requires="wps">
            <w:drawing>
              <wp:anchor distT="0" distB="0" distL="114300" distR="114300" simplePos="0" relativeHeight="251660288" behindDoc="0" locked="0" layoutInCell="1" allowOverlap="1" wp14:anchorId="1E42CC91" wp14:editId="03AE9D90">
                <wp:simplePos x="0" y="0"/>
                <wp:positionH relativeFrom="column">
                  <wp:posOffset>10658475</wp:posOffset>
                </wp:positionH>
                <wp:positionV relativeFrom="paragraph">
                  <wp:posOffset>19050</wp:posOffset>
                </wp:positionV>
                <wp:extent cx="26525538" cy="2438400"/>
                <wp:effectExtent l="19050" t="19050" r="11430" b="1905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25538" cy="2438400"/>
                        </a:xfrm>
                        <a:prstGeom prst="rect">
                          <a:avLst/>
                        </a:prstGeom>
                        <a:solidFill>
                          <a:srgbClr val="EEECE1"/>
                        </a:solidFill>
                        <a:ln w="31750" algn="in">
                          <a:solidFill>
                            <a:srgbClr val="EEECE1"/>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305A6" w:rsidRDefault="00A305A6" w:rsidP="00A305A6">
                            <w:pPr>
                              <w:pStyle w:val="NormalWeb"/>
                              <w:spacing w:before="0" w:beforeAutospacing="0" w:after="0" w:afterAutospacing="0"/>
                              <w:jc w:val="center"/>
                              <w:textAlignment w:val="baseline"/>
                            </w:pPr>
                            <w:r>
                              <w:rPr>
                                <w:rFonts w:ascii="Cambria" w:hAnsi="Cambria" w:cs="Arial"/>
                                <w:b/>
                                <w:bCs/>
                                <w:color w:val="000000"/>
                                <w:kern w:val="24"/>
                                <w:position w:val="1"/>
                                <w:sz w:val="96"/>
                                <w:szCs w:val="96"/>
                              </w:rPr>
                              <w:t xml:space="preserve">THE EFFECTIVENESS OF DIFFERENT METHODS FOR VERIFICATION OF </w:t>
                            </w:r>
                          </w:p>
                          <w:p w:rsidR="00A305A6" w:rsidRDefault="00A305A6" w:rsidP="00A305A6">
                            <w:pPr>
                              <w:pStyle w:val="NormalWeb"/>
                              <w:spacing w:before="0" w:beforeAutospacing="0" w:after="0" w:afterAutospacing="0"/>
                              <w:jc w:val="center"/>
                              <w:textAlignment w:val="baseline"/>
                            </w:pPr>
                            <w:r>
                              <w:rPr>
                                <w:rFonts w:ascii="Cambria" w:hAnsi="Cambria" w:cs="Arial"/>
                                <w:b/>
                                <w:bCs/>
                                <w:color w:val="000000"/>
                                <w:kern w:val="24"/>
                                <w:position w:val="1"/>
                                <w:sz w:val="96"/>
                                <w:szCs w:val="96"/>
                              </w:rPr>
                              <w:t xml:space="preserve">NASOGASTRIC/OROGASTRIC (NGT/OGT) PLACEMENT FOR REDUCING </w:t>
                            </w:r>
                          </w:p>
                          <w:p w:rsidR="00A305A6" w:rsidRDefault="00A305A6" w:rsidP="00A305A6">
                            <w:pPr>
                              <w:pStyle w:val="NormalWeb"/>
                              <w:spacing w:before="0" w:beforeAutospacing="0" w:after="0" w:afterAutospacing="0"/>
                              <w:jc w:val="center"/>
                              <w:textAlignment w:val="baseline"/>
                            </w:pPr>
                            <w:r>
                              <w:rPr>
                                <w:rFonts w:ascii="Cambria" w:hAnsi="Cambria" w:cs="Arial"/>
                                <w:b/>
                                <w:bCs/>
                                <w:color w:val="000000"/>
                                <w:kern w:val="24"/>
                                <w:position w:val="1"/>
                                <w:sz w:val="96"/>
                                <w:szCs w:val="96"/>
                              </w:rPr>
                              <w:t>COMPLICATIONS IN ADULT HOSPITALIZED PATIENTS</w:t>
                            </w:r>
                          </w:p>
                        </w:txbxContent>
                      </wps:txbx>
                      <wps:bodyPr vert="horz" wrap="square" lIns="36576" tIns="36576" rIns="36576" bIns="36576" numCol="1" anchor="t" anchorCtr="0" compatLnSpc="1">
                        <a:prstTxWarp prst="textNoShape">
                          <a:avLst/>
                        </a:prstTxWarp>
                      </wps:bodyPr>
                    </wps:wsp>
                  </a:graphicData>
                </a:graphic>
              </wp:anchor>
            </w:drawing>
          </mc:Choice>
          <mc:Fallback>
            <w:pict>
              <v:shapetype w14:anchorId="1E42CC91" id="_x0000_t202" coordsize="21600,21600" o:spt="202" path="m,l,21600r21600,l21600,xe">
                <v:stroke joinstyle="miter"/>
                <v:path gradientshapeok="t" o:connecttype="rect"/>
              </v:shapetype>
              <v:shape id="Text Box 17" o:spid="_x0000_s1026" type="#_x0000_t202" style="position:absolute;margin-left:839.25pt;margin-top:1.5pt;width:2088.65pt;height:192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" fillcolor="#eeece1" strokecolor="#eeece1" strokeweight="2.5pt" insetpen="t">
                <v:shadow color="#868686"/>
                <v:textbox inset="2.88pt,2.88pt,2.88pt,2.88pt">
                  <w:txbxContent>
                    <w:p w:rsidR="00A305A6" w:rsidRDefault="00A305A6" w:rsidP="00A305A6">
                      <w:pPr>
                        <w:pStyle w:val="NormalWeb"/>
                        <w:spacing w:before="0" w:beforeAutospacing="0" w:after="0" w:afterAutospacing="0"/>
                        <w:jc w:val="center"/>
                        <w:textAlignment w:val="baseline"/>
                      </w:pPr>
                      <w:r>
                        <w:rPr>
                          <w:rFonts w:ascii="Cambria" w:hAnsi="Cambria" w:cs="Arial"/>
                          <w:b/>
                          <w:bCs/>
                          <w:color w:val="000000"/>
                          <w:kern w:val="24"/>
                          <w:position w:val="1"/>
                          <w:sz w:val="96"/>
                          <w:szCs w:val="96"/>
                        </w:rPr>
                        <w:t xml:space="preserve">THE EFFECTIVENESS OF DIFFERENT METHODS FOR VERIFICATION OF </w:t>
                      </w:r>
                    </w:p>
                    <w:p w:rsidR="00A305A6" w:rsidRDefault="00A305A6" w:rsidP="00A305A6">
                      <w:pPr>
                        <w:pStyle w:val="NormalWeb"/>
                        <w:spacing w:before="0" w:beforeAutospacing="0" w:after="0" w:afterAutospacing="0"/>
                        <w:jc w:val="center"/>
                        <w:textAlignment w:val="baseline"/>
                      </w:pPr>
                      <w:r>
                        <w:rPr>
                          <w:rFonts w:ascii="Cambria" w:hAnsi="Cambria" w:cs="Arial"/>
                          <w:b/>
                          <w:bCs/>
                          <w:color w:val="000000"/>
                          <w:kern w:val="24"/>
                          <w:position w:val="1"/>
                          <w:sz w:val="96"/>
                          <w:szCs w:val="96"/>
                        </w:rPr>
                        <w:t xml:space="preserve">NASOGASTRIC/OROGASTRIC (NGT/OGT) PLACEMENT FOR REDUCING </w:t>
                      </w:r>
                    </w:p>
                    <w:p w:rsidR="00A305A6" w:rsidRDefault="00A305A6" w:rsidP="00A305A6">
                      <w:pPr>
                        <w:pStyle w:val="NormalWeb"/>
                        <w:spacing w:before="0" w:beforeAutospacing="0" w:after="0" w:afterAutospacing="0"/>
                        <w:jc w:val="center"/>
                        <w:textAlignment w:val="baseline"/>
                      </w:pPr>
                      <w:r>
                        <w:rPr>
                          <w:rFonts w:ascii="Cambria" w:hAnsi="Cambria" w:cs="Arial"/>
                          <w:b/>
                          <w:bCs/>
                          <w:color w:val="000000"/>
                          <w:kern w:val="24"/>
                          <w:position w:val="1"/>
                          <w:sz w:val="96"/>
                          <w:szCs w:val="96"/>
                        </w:rPr>
                        <w:t>COMPLICATIONS IN ADULT HOSPITALIZED PATIENTS</w:t>
                      </w: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5CDF55D8" wp14:editId="7EED2E52">
                <wp:simplePos x="0" y="0"/>
                <wp:positionH relativeFrom="column">
                  <wp:posOffset>0</wp:posOffset>
                </wp:positionH>
                <wp:positionV relativeFrom="paragraph">
                  <wp:posOffset>40719375</wp:posOffset>
                </wp:positionV>
                <wp:extent cx="32443419" cy="1524000"/>
                <wp:effectExtent l="0" t="0" r="0" b="0"/>
                <wp:wrapNone/>
                <wp:docPr id="21"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43419" cy="1524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rsidR="00A305A6" w:rsidRDefault="00A305A6" w:rsidP="00A305A6">
                            <w:pPr>
                              <w:pStyle w:val="NormalWeb"/>
                              <w:spacing w:before="0" w:beforeAutospacing="0" w:after="0" w:afterAutospacing="0"/>
                              <w:jc w:val="center"/>
                              <w:textAlignment w:val="baseline"/>
                            </w:pPr>
                            <w:r>
                              <w:rPr>
                                <w:rFonts w:cs="Arial"/>
                                <w:color w:val="000000"/>
                                <w:kern w:val="24"/>
                                <w:sz w:val="32"/>
                                <w:szCs w:val="32"/>
                              </w:rPr>
                              <w:t>References</w:t>
                            </w:r>
                          </w:p>
                          <w:p w:rsidR="00A305A6" w:rsidRDefault="00A305A6" w:rsidP="00A305A6">
                            <w:pPr>
                              <w:pStyle w:val="NormalWeb"/>
                              <w:spacing w:before="0" w:beforeAutospacing="0" w:after="0" w:afterAutospacing="0"/>
                              <w:textAlignment w:val="baseline"/>
                            </w:pPr>
                            <w:r>
                              <w:rPr>
                                <w:rFonts w:cs="Arial"/>
                                <w:color w:val="000000"/>
                                <w:kern w:val="24"/>
                                <w:sz w:val="32"/>
                                <w:szCs w:val="32"/>
                              </w:rPr>
                              <w:t xml:space="preserve">Powers, J., Fischer, MH. </w:t>
                            </w:r>
                            <w:proofErr w:type="spellStart"/>
                            <w:r>
                              <w:rPr>
                                <w:rFonts w:cs="Arial"/>
                                <w:color w:val="000000"/>
                                <w:kern w:val="24"/>
                                <w:sz w:val="32"/>
                                <w:szCs w:val="32"/>
                              </w:rPr>
                              <w:t>Ziemba</w:t>
                            </w:r>
                            <w:proofErr w:type="spellEnd"/>
                            <w:r>
                              <w:rPr>
                                <w:rFonts w:cs="Arial"/>
                                <w:color w:val="000000"/>
                                <w:kern w:val="24"/>
                                <w:sz w:val="32"/>
                                <w:szCs w:val="32"/>
                              </w:rPr>
                              <w:t xml:space="preserve">, Davis, M., Brown, J., &amp; Phillips, DM (2013 November 22). Elimination of radiographic confirmation for small-bowel feeding tubes in critical care. American Journal of Critical Care (6):521-527, </w:t>
                            </w:r>
                            <w:proofErr w:type="spellStart"/>
                            <w:r>
                              <w:rPr>
                                <w:rFonts w:cs="Arial"/>
                                <w:color w:val="000000"/>
                                <w:kern w:val="24"/>
                                <w:sz w:val="32"/>
                                <w:szCs w:val="32"/>
                              </w:rPr>
                              <w:t>doi</w:t>
                            </w:r>
                            <w:proofErr w:type="spellEnd"/>
                            <w:r>
                              <w:rPr>
                                <w:rFonts w:cs="Arial"/>
                                <w:color w:val="000000"/>
                                <w:kern w:val="24"/>
                                <w:sz w:val="32"/>
                                <w:szCs w:val="32"/>
                              </w:rPr>
                              <w:t>:</w:t>
                            </w:r>
                            <w:r>
                              <w:rPr>
                                <w:rFonts w:ascii="Arial" w:hAnsi="Arial" w:cs="Arial"/>
                                <w:color w:val="000000"/>
                                <w:kern w:val="24"/>
                                <w:sz w:val="32"/>
                                <w:szCs w:val="32"/>
                              </w:rPr>
                              <w:t xml:space="preserve"> 10.4037/ajcc2013755</w:t>
                            </w:r>
                            <w:r>
                              <w:rPr>
                                <w:rFonts w:cs="Arial"/>
                                <w:color w:val="000000"/>
                                <w:kern w:val="24"/>
                                <w:sz w:val="32"/>
                                <w:szCs w:val="32"/>
                              </w:rPr>
                              <w:t xml:space="preserve"> </w:t>
                            </w:r>
                          </w:p>
                          <w:p w:rsidR="00A305A6" w:rsidRDefault="00A305A6" w:rsidP="00A305A6">
                            <w:pPr>
                              <w:pStyle w:val="NormalWeb"/>
                              <w:spacing w:before="0" w:beforeAutospacing="0" w:after="0" w:afterAutospacing="0"/>
                              <w:textAlignment w:val="baseline"/>
                            </w:pPr>
                            <w:r>
                              <w:rPr>
                                <w:rFonts w:cs="Arial"/>
                                <w:color w:val="000000"/>
                                <w:kern w:val="24"/>
                                <w:sz w:val="32"/>
                                <w:szCs w:val="32"/>
                              </w:rPr>
                              <w:t>Roberts, S., Echeverria, P., &amp; Gabriel, S. (2007). Devices and techniques for bedside enteral feeding tube placement .</w:t>
                            </w:r>
                            <w:r>
                              <w:rPr>
                                <w:rFonts w:cs="Arial"/>
                                <w:i/>
                                <w:iCs/>
                                <w:color w:val="000000"/>
                                <w:kern w:val="24"/>
                                <w:sz w:val="32"/>
                                <w:szCs w:val="32"/>
                              </w:rPr>
                              <w:t>Nutrition in Clinical Practice, 22</w:t>
                            </w:r>
                            <w:r>
                              <w:rPr>
                                <w:rFonts w:cs="Arial"/>
                                <w:color w:val="000000"/>
                                <w:kern w:val="24"/>
                                <w:sz w:val="32"/>
                                <w:szCs w:val="32"/>
                              </w:rPr>
                              <w:t xml:space="preserve"> (4)</w:t>
                            </w:r>
                          </w:p>
                          <w:p w:rsidR="00A305A6" w:rsidRDefault="00A305A6" w:rsidP="00A305A6">
                            <w:pPr>
                              <w:pStyle w:val="NormalWeb"/>
                              <w:spacing w:before="0" w:beforeAutospacing="0" w:after="0" w:afterAutospacing="0"/>
                              <w:textAlignment w:val="baseline"/>
                            </w:pPr>
                            <w:r>
                              <w:rPr>
                                <w:rFonts w:cs="Arial"/>
                                <w:color w:val="000000"/>
                                <w:kern w:val="24"/>
                                <w:sz w:val="32"/>
                                <w:szCs w:val="32"/>
                              </w:rPr>
                              <w:t>Sparks, DA (2011).Pulmonary complications of 9931 narrow-core nasoenteric tubes during placement; a critical review .</w:t>
                            </w:r>
                            <w:r>
                              <w:rPr>
                                <w:rFonts w:cs="Arial"/>
                                <w:i/>
                                <w:iCs/>
                                <w:color w:val="000000"/>
                                <w:kern w:val="24"/>
                                <w:sz w:val="32"/>
                                <w:szCs w:val="32"/>
                              </w:rPr>
                              <w:t>JPEN Journal of Parenteral Enteral Nutrition; 35</w:t>
                            </w:r>
                            <w:r>
                              <w:rPr>
                                <w:rFonts w:cs="Arial"/>
                                <w:color w:val="000000"/>
                                <w:kern w:val="24"/>
                                <w:sz w:val="32"/>
                                <w:szCs w:val="32"/>
                              </w:rPr>
                              <w:t>(5):625-629.</w:t>
                            </w:r>
                          </w:p>
                          <w:p w:rsidR="00A305A6" w:rsidRDefault="00A305A6" w:rsidP="00A305A6">
                            <w:pPr>
                              <w:pStyle w:val="NormalWeb"/>
                              <w:spacing w:before="0" w:beforeAutospacing="0" w:after="200" w:afterAutospacing="0"/>
                              <w:textAlignment w:val="baseline"/>
                            </w:pPr>
                            <w:r>
                              <w:rPr>
                                <w:rFonts w:cs="Arial"/>
                                <w:color w:val="000000"/>
                                <w:kern w:val="24"/>
                                <w:sz w:val="32"/>
                                <w:szCs w:val="32"/>
                              </w:rPr>
                              <w:t xml:space="preserve">Thomson, M. A., Lawson. &amp; Shaw, M. (2007). Best practice with regard to confirmation of nasogastric tube placement. </w:t>
                            </w:r>
                            <w:r>
                              <w:rPr>
                                <w:rFonts w:cs="Arial"/>
                                <w:i/>
                                <w:iCs/>
                                <w:color w:val="000000"/>
                                <w:kern w:val="24"/>
                                <w:sz w:val="32"/>
                                <w:szCs w:val="32"/>
                              </w:rPr>
                              <w:t>Proceeding of the Nutrition Society 67</w:t>
                            </w:r>
                            <w:r>
                              <w:rPr>
                                <w:rFonts w:cs="Arial"/>
                                <w:color w:val="000000"/>
                                <w:kern w:val="24"/>
                                <w:sz w:val="32"/>
                                <w:szCs w:val="32"/>
                              </w:rPr>
                              <w:t xml:space="preserve">, </w:t>
                            </w:r>
                            <w:proofErr w:type="spellStart"/>
                            <w:r>
                              <w:rPr>
                                <w:rFonts w:cs="Arial"/>
                                <w:color w:val="000000"/>
                                <w:kern w:val="24"/>
                                <w:sz w:val="32"/>
                                <w:szCs w:val="32"/>
                              </w:rPr>
                              <w:t>doi</w:t>
                            </w:r>
                            <w:proofErr w:type="spellEnd"/>
                            <w:r>
                              <w:rPr>
                                <w:rFonts w:cs="Arial"/>
                                <w:color w:val="000000"/>
                                <w:kern w:val="24"/>
                                <w:sz w:val="32"/>
                                <w:szCs w:val="32"/>
                              </w:rPr>
                              <w:t>: 10.1017/S0029665108007490</w:t>
                            </w:r>
                          </w:p>
                        </w:txbxContent>
                      </wps:txbx>
                      <wps:bodyPr vert="horz" wrap="square" lIns="36576" tIns="36576" rIns="36576" bIns="36576" numCol="1" anchor="t" anchorCtr="0" compatLnSpc="1">
                        <a:prstTxWarp prst="textNoShape">
                          <a:avLst/>
                        </a:prstTxWarp>
                      </wps:bodyPr>
                    </wps:wsp>
                  </a:graphicData>
                </a:graphic>
              </wp:anchor>
            </w:drawing>
          </mc:Choice>
          <mc:Fallback>
            <w:pict>
              <v:shape w14:anchorId="5CDF55D8" id="Text Box 22" o:spid="_x0000_s1027" type="#_x0000_t202" style="position:absolute;margin-left:0;margin-top:3206.25pt;width:2554.6pt;height:120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" filled="f" stroked="f" insetpen="t">
                <v:shadow color="#eeece1"/>
                <v:textbox inset="2.88pt,2.88pt,2.88pt,2.88pt">
                  <w:txbxContent>
                    <w:p w:rsidR="00A305A6" w:rsidRDefault="00A305A6" w:rsidP="00A305A6">
                      <w:pPr>
                        <w:pStyle w:val="NormalWeb"/>
                        <w:spacing w:before="0" w:beforeAutospacing="0" w:after="0" w:afterAutospacing="0"/>
                        <w:jc w:val="center"/>
                        <w:textAlignment w:val="baseline"/>
                      </w:pPr>
                      <w:r>
                        <w:rPr>
                          <w:rFonts w:cs="Arial"/>
                          <w:color w:val="000000"/>
                          <w:kern w:val="24"/>
                          <w:sz w:val="32"/>
                          <w:szCs w:val="32"/>
                        </w:rPr>
                        <w:t>References</w:t>
                      </w:r>
                    </w:p>
                    <w:p w:rsidR="00A305A6" w:rsidRDefault="00A305A6" w:rsidP="00A305A6">
                      <w:pPr>
                        <w:pStyle w:val="NormalWeb"/>
                        <w:spacing w:before="0" w:beforeAutospacing="0" w:after="0" w:afterAutospacing="0"/>
                        <w:textAlignment w:val="baseline"/>
                      </w:pPr>
                      <w:r>
                        <w:rPr>
                          <w:rFonts w:cs="Arial"/>
                          <w:color w:val="000000"/>
                          <w:kern w:val="24"/>
                          <w:sz w:val="32"/>
                          <w:szCs w:val="32"/>
                        </w:rPr>
                        <w:t xml:space="preserve">Powers, J., Fischer, MH. </w:t>
                      </w:r>
                      <w:proofErr w:type="spellStart"/>
                      <w:r>
                        <w:rPr>
                          <w:rFonts w:cs="Arial"/>
                          <w:color w:val="000000"/>
                          <w:kern w:val="24"/>
                          <w:sz w:val="32"/>
                          <w:szCs w:val="32"/>
                        </w:rPr>
                        <w:t>Ziemba</w:t>
                      </w:r>
                      <w:proofErr w:type="spellEnd"/>
                      <w:r>
                        <w:rPr>
                          <w:rFonts w:cs="Arial"/>
                          <w:color w:val="000000"/>
                          <w:kern w:val="24"/>
                          <w:sz w:val="32"/>
                          <w:szCs w:val="32"/>
                        </w:rPr>
                        <w:t xml:space="preserve">, Davis, M., Brown, J., &amp; Phillips, DM (2013 November 22). Elimination of radiographic confirmation for small-bowel feeding tubes in critical care. American Journal of Critical Care (6):521-527, </w:t>
                      </w:r>
                      <w:proofErr w:type="spellStart"/>
                      <w:r>
                        <w:rPr>
                          <w:rFonts w:cs="Arial"/>
                          <w:color w:val="000000"/>
                          <w:kern w:val="24"/>
                          <w:sz w:val="32"/>
                          <w:szCs w:val="32"/>
                        </w:rPr>
                        <w:t>doi</w:t>
                      </w:r>
                      <w:proofErr w:type="spellEnd"/>
                      <w:r>
                        <w:rPr>
                          <w:rFonts w:cs="Arial"/>
                          <w:color w:val="000000"/>
                          <w:kern w:val="24"/>
                          <w:sz w:val="32"/>
                          <w:szCs w:val="32"/>
                        </w:rPr>
                        <w:t>:</w:t>
                      </w:r>
                      <w:r>
                        <w:rPr>
                          <w:rFonts w:ascii="Arial" w:hAnsi="Arial" w:cs="Arial"/>
                          <w:color w:val="000000"/>
                          <w:kern w:val="24"/>
                          <w:sz w:val="32"/>
                          <w:szCs w:val="32"/>
                        </w:rPr>
                        <w:t xml:space="preserve"> 10.4037/ajcc2013755</w:t>
                      </w:r>
                      <w:r>
                        <w:rPr>
                          <w:rFonts w:cs="Arial"/>
                          <w:color w:val="000000"/>
                          <w:kern w:val="24"/>
                          <w:sz w:val="32"/>
                          <w:szCs w:val="32"/>
                        </w:rPr>
                        <w:t xml:space="preserve"> </w:t>
                      </w:r>
                    </w:p>
                    <w:p w:rsidR="00A305A6" w:rsidRDefault="00A305A6" w:rsidP="00A305A6">
                      <w:pPr>
                        <w:pStyle w:val="NormalWeb"/>
                        <w:spacing w:before="0" w:beforeAutospacing="0" w:after="0" w:afterAutospacing="0"/>
                        <w:textAlignment w:val="baseline"/>
                      </w:pPr>
                      <w:r>
                        <w:rPr>
                          <w:rFonts w:cs="Arial"/>
                          <w:color w:val="000000"/>
                          <w:kern w:val="24"/>
                          <w:sz w:val="32"/>
                          <w:szCs w:val="32"/>
                        </w:rPr>
                        <w:t>Roberts, S., Echeverria, P., &amp; Gabriel, S. (2007). Devices and techniques for bedside enteral feeding tube placement .</w:t>
                      </w:r>
                      <w:r>
                        <w:rPr>
                          <w:rFonts w:cs="Arial"/>
                          <w:i/>
                          <w:iCs/>
                          <w:color w:val="000000"/>
                          <w:kern w:val="24"/>
                          <w:sz w:val="32"/>
                          <w:szCs w:val="32"/>
                        </w:rPr>
                        <w:t>Nutrition in Clinical Practice, 22</w:t>
                      </w:r>
                      <w:r>
                        <w:rPr>
                          <w:rFonts w:cs="Arial"/>
                          <w:color w:val="000000"/>
                          <w:kern w:val="24"/>
                          <w:sz w:val="32"/>
                          <w:szCs w:val="32"/>
                        </w:rPr>
                        <w:t xml:space="preserve"> (4)</w:t>
                      </w:r>
                    </w:p>
                    <w:p w:rsidR="00A305A6" w:rsidRDefault="00A305A6" w:rsidP="00A305A6">
                      <w:pPr>
                        <w:pStyle w:val="NormalWeb"/>
                        <w:spacing w:before="0" w:beforeAutospacing="0" w:after="0" w:afterAutospacing="0"/>
                        <w:textAlignment w:val="baseline"/>
                      </w:pPr>
                      <w:r>
                        <w:rPr>
                          <w:rFonts w:cs="Arial"/>
                          <w:color w:val="000000"/>
                          <w:kern w:val="24"/>
                          <w:sz w:val="32"/>
                          <w:szCs w:val="32"/>
                        </w:rPr>
                        <w:t>Sparks, DA (2011).Pulmonary complications of 9931 narrow-core nasoenteric tubes during placement; a critical review .</w:t>
                      </w:r>
                      <w:r>
                        <w:rPr>
                          <w:rFonts w:cs="Arial"/>
                          <w:i/>
                          <w:iCs/>
                          <w:color w:val="000000"/>
                          <w:kern w:val="24"/>
                          <w:sz w:val="32"/>
                          <w:szCs w:val="32"/>
                        </w:rPr>
                        <w:t>JPEN Journal of Parenteral Enteral Nutrition; 35</w:t>
                      </w:r>
                      <w:r>
                        <w:rPr>
                          <w:rFonts w:cs="Arial"/>
                          <w:color w:val="000000"/>
                          <w:kern w:val="24"/>
                          <w:sz w:val="32"/>
                          <w:szCs w:val="32"/>
                        </w:rPr>
                        <w:t>(5):625-629.</w:t>
                      </w:r>
                    </w:p>
                    <w:p w:rsidR="00A305A6" w:rsidRDefault="00A305A6" w:rsidP="00A305A6">
                      <w:pPr>
                        <w:pStyle w:val="NormalWeb"/>
                        <w:spacing w:before="0" w:beforeAutospacing="0" w:after="200" w:afterAutospacing="0"/>
                        <w:textAlignment w:val="baseline"/>
                      </w:pPr>
                      <w:r>
                        <w:rPr>
                          <w:rFonts w:cs="Arial"/>
                          <w:color w:val="000000"/>
                          <w:kern w:val="24"/>
                          <w:sz w:val="32"/>
                          <w:szCs w:val="32"/>
                        </w:rPr>
                        <w:t xml:space="preserve">Thomson, M. A., Lawson. &amp; Shaw, M. (2007). Best practice with regard to confirmation of nasogastric tube placement. </w:t>
                      </w:r>
                      <w:r>
                        <w:rPr>
                          <w:rFonts w:cs="Arial"/>
                          <w:i/>
                          <w:iCs/>
                          <w:color w:val="000000"/>
                          <w:kern w:val="24"/>
                          <w:sz w:val="32"/>
                          <w:szCs w:val="32"/>
                        </w:rPr>
                        <w:t>Proceeding of the Nutrition Society 67</w:t>
                      </w:r>
                      <w:r>
                        <w:rPr>
                          <w:rFonts w:cs="Arial"/>
                          <w:color w:val="000000"/>
                          <w:kern w:val="24"/>
                          <w:sz w:val="32"/>
                          <w:szCs w:val="32"/>
                        </w:rPr>
                        <w:t xml:space="preserve">, </w:t>
                      </w:r>
                      <w:proofErr w:type="spellStart"/>
                      <w:r>
                        <w:rPr>
                          <w:rFonts w:cs="Arial"/>
                          <w:color w:val="000000"/>
                          <w:kern w:val="24"/>
                          <w:sz w:val="32"/>
                          <w:szCs w:val="32"/>
                        </w:rPr>
                        <w:t>doi</w:t>
                      </w:r>
                      <w:proofErr w:type="spellEnd"/>
                      <w:r>
                        <w:rPr>
                          <w:rFonts w:cs="Arial"/>
                          <w:color w:val="000000"/>
                          <w:kern w:val="24"/>
                          <w:sz w:val="32"/>
                          <w:szCs w:val="32"/>
                        </w:rPr>
                        <w:t>: 10.1017/S0029665108007490</w:t>
                      </w:r>
                    </w:p>
                  </w:txbxContent>
                </v:textbox>
              </v:shape>
            </w:pict>
          </mc:Fallback>
        </mc:AlternateContent>
      </w:r>
      <w:r>
        <w:rPr>
          <w:noProof/>
        </w:rPr>
        <w:drawing>
          <wp:anchor distT="0" distB="0" distL="114300" distR="114300" simplePos="0" relativeHeight="251664384" behindDoc="0" locked="0" layoutInCell="1" allowOverlap="1" wp14:anchorId="6C17090E" wp14:editId="4AC3554C">
            <wp:simplePos x="0" y="0"/>
            <wp:positionH relativeFrom="column">
              <wp:posOffset>10058400</wp:posOffset>
            </wp:positionH>
            <wp:positionV relativeFrom="paragraph">
              <wp:posOffset>33080325</wp:posOffset>
            </wp:positionV>
            <wp:extent cx="1905000" cy="2524125"/>
            <wp:effectExtent l="0" t="0" r="0" b="9525"/>
            <wp:wrapNone/>
            <wp:docPr id="44" name="Picture 1" descr="http://www.slu.edu/pr/images/NormaMetheny_2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1" descr="http://www.slu.edu/pr/images/NormaMetheny_200.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0" cy="2524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Lst>
                  </pic:spPr>
                </pic:pic>
              </a:graphicData>
            </a:graphic>
          </wp:anchor>
        </w:drawing>
      </w:r>
      <w:r>
        <w:rPr>
          <w:noProof/>
        </w:rPr>
        <w:drawing>
          <wp:anchor distT="0" distB="0" distL="114300" distR="114300" simplePos="0" relativeHeight="251665408" behindDoc="0" locked="0" layoutInCell="1" allowOverlap="1" wp14:anchorId="42AC1E26" wp14:editId="600D73F7">
            <wp:simplePos x="0" y="0"/>
            <wp:positionH relativeFrom="column">
              <wp:posOffset>38319075</wp:posOffset>
            </wp:positionH>
            <wp:positionV relativeFrom="paragraph">
              <wp:posOffset>9401175</wp:posOffset>
            </wp:positionV>
            <wp:extent cx="5943600" cy="5648325"/>
            <wp:effectExtent l="0" t="0" r="0" b="9525"/>
            <wp:wrapNone/>
            <wp:docPr id="1056" name="Picture 32" descr="http://corpakms.net/jaq/wp-content/uploads/2014/08/CORTRAK2_diagr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 name="Picture 32" descr="http://corpakms.net/jaq/wp-content/uploads/2014/08/CORTRAK2_diagram.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5648325"/>
                    </a:xfrm>
                    <a:prstGeom prst="rect">
                      <a:avLst/>
                    </a:prstGeom>
                    <a:noFill/>
                    <a:extLst/>
                  </pic:spPr>
                </pic:pic>
              </a:graphicData>
            </a:graphic>
          </wp:anchor>
        </w:drawing>
      </w:r>
      <w:r>
        <w:rPr>
          <w:noProof/>
        </w:rPr>
        <mc:AlternateContent>
          <mc:Choice Requires="wps">
            <w:drawing>
              <wp:anchor distT="0" distB="0" distL="114300" distR="114300" simplePos="0" relativeHeight="251666432" behindDoc="0" locked="0" layoutInCell="1" allowOverlap="1" wp14:anchorId="7F26B49A" wp14:editId="0AEB6B0A">
                <wp:simplePos x="0" y="0"/>
                <wp:positionH relativeFrom="column">
                  <wp:posOffset>0</wp:posOffset>
                </wp:positionH>
                <wp:positionV relativeFrom="paragraph">
                  <wp:posOffset>8077200</wp:posOffset>
                </wp:positionV>
                <wp:extent cx="6934200" cy="6720006"/>
                <wp:effectExtent l="0" t="0" r="19050" b="24130"/>
                <wp:wrapNone/>
                <wp:docPr id="25" name="Freeform 24"/>
                <wp:cNvGraphicFramePr/>
                <a:graphic xmlns:a="http://schemas.openxmlformats.org/drawingml/2006/main">
                  <a:graphicData uri="http://schemas.microsoft.com/office/word/2010/wordprocessingShape">
                    <wps:wsp>
                      <wps:cNvSpPr/>
                      <wps:spPr>
                        <a:xfrm>
                          <a:off x="0" y="0"/>
                          <a:ext cx="6934200" cy="6720006"/>
                        </a:xfrm>
                        <a:custGeom>
                          <a:avLst/>
                          <a:gdLst>
                            <a:gd name="connsiteX0" fmla="*/ 0 w 6934200"/>
                            <a:gd name="connsiteY0" fmla="*/ 0 h 6426000"/>
                            <a:gd name="connsiteX1" fmla="*/ 6934200 w 6934200"/>
                            <a:gd name="connsiteY1" fmla="*/ 0 h 6426000"/>
                            <a:gd name="connsiteX2" fmla="*/ 6934200 w 6934200"/>
                            <a:gd name="connsiteY2" fmla="*/ 6426000 h 6426000"/>
                            <a:gd name="connsiteX3" fmla="*/ 0 w 6934200"/>
                            <a:gd name="connsiteY3" fmla="*/ 6426000 h 6426000"/>
                            <a:gd name="connsiteX4" fmla="*/ 0 w 6934200"/>
                            <a:gd name="connsiteY4" fmla="*/ 0 h 64260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934200" h="6426000">
                              <a:moveTo>
                                <a:pt x="0" y="0"/>
                              </a:moveTo>
                              <a:lnTo>
                                <a:pt x="6934200" y="0"/>
                              </a:lnTo>
                              <a:lnTo>
                                <a:pt x="6934200" y="6426000"/>
                              </a:lnTo>
                              <a:lnTo>
                                <a:pt x="0" y="6426000"/>
                              </a:lnTo>
                              <a:lnTo>
                                <a:pt x="0" y="0"/>
                              </a:lnTo>
                              <a:close/>
                            </a:path>
                          </a:pathLst>
                        </a:custGeom>
                      </wps:spPr>
                      <wps:style>
                        <a:lnRef idx="2">
                          <a:schemeClr val="accent1">
                            <a:hueOff val="0"/>
                            <a:satOff val="0"/>
                            <a:lumOff val="0"/>
                            <a:alphaOff val="0"/>
                          </a:schemeClr>
                        </a:lnRef>
                        <a:fillRef idx="1">
                          <a:schemeClr val="lt1">
                            <a:alpha val="90000"/>
                            <a:hueOff val="0"/>
                            <a:satOff val="0"/>
                            <a:lumOff val="0"/>
                            <a:alphaOff val="0"/>
                          </a:schemeClr>
                        </a:fillRef>
                        <a:effectRef idx="0">
                          <a:schemeClr val="lt1">
                            <a:alpha val="90000"/>
                            <a:hueOff val="0"/>
                            <a:satOff val="0"/>
                            <a:lumOff val="0"/>
                            <a:alphaOff val="0"/>
                          </a:schemeClr>
                        </a:effectRef>
                        <a:fontRef idx="minor">
                          <a:schemeClr val="dk1">
                            <a:hueOff val="0"/>
                            <a:satOff val="0"/>
                            <a:lumOff val="0"/>
                            <a:alphaOff val="0"/>
                          </a:schemeClr>
                        </a:fontRef>
                      </wps:style>
                      <wps:txbx>
                        <w:txbxContent>
                          <w:p w:rsidR="00A305A6" w:rsidRDefault="00A305A6" w:rsidP="00A305A6">
                            <w:pPr>
                              <w:pStyle w:val="ListParagraph"/>
                              <w:numPr>
                                <w:ilvl w:val="1"/>
                                <w:numId w:val="1"/>
                              </w:numPr>
                              <w:spacing w:line="216" w:lineRule="auto"/>
                              <w:rPr>
                                <w:rFonts w:eastAsia="Times New Roman"/>
                                <w:sz w:val="60"/>
                              </w:rPr>
                            </w:pPr>
                            <w:r>
                              <w:rPr>
                                <w:rFonts w:asciiTheme="minorHAnsi" w:hAnsi="Calibri" w:cstheme="minorBidi"/>
                                <w:color w:val="000000" w:themeColor="dark1"/>
                                <w:kern w:val="24"/>
                                <w:sz w:val="60"/>
                                <w:szCs w:val="60"/>
                                <w14:textFill>
                                  <w14:solidFill>
                                    <w14:schemeClr w14:val="dk1">
                                      <w14:satOff w14:val="0"/>
                                      <w14:lumOff w14:val="0"/>
                                    </w14:schemeClr>
                                  </w14:solidFill>
                                </w14:textFill>
                              </w:rPr>
                              <w:t>Nasogastric/ Orogastric (NGT/OGT) are commonly used for enteral feeding. The insertion of NGT/OGT is associated with a risk to patient’s safety because is blindly procedure.</w:t>
                            </w:r>
                          </w:p>
                          <w:p w:rsidR="00A305A6" w:rsidRDefault="00A305A6" w:rsidP="00A305A6">
                            <w:pPr>
                              <w:pStyle w:val="ListParagraph"/>
                              <w:numPr>
                                <w:ilvl w:val="1"/>
                                <w:numId w:val="1"/>
                              </w:numPr>
                              <w:spacing w:line="216" w:lineRule="auto"/>
                              <w:rPr>
                                <w:rFonts w:eastAsia="Times New Roman"/>
                                <w:sz w:val="60"/>
                              </w:rPr>
                            </w:pPr>
                            <w:r>
                              <w:rPr>
                                <w:rFonts w:asciiTheme="minorHAnsi" w:hAnsi="Calibri" w:cstheme="minorBidi"/>
                                <w:color w:val="000000" w:themeColor="dark1"/>
                                <w:kern w:val="24"/>
                                <w:sz w:val="60"/>
                                <w:szCs w:val="60"/>
                                <w14:textFill>
                                  <w14:solidFill>
                                    <w14:schemeClr w14:val="dk1">
                                      <w14:satOff w14:val="0"/>
                                      <w14:lumOff w14:val="0"/>
                                    </w14:schemeClr>
                                  </w14:solidFill>
                                </w14:textFill>
                              </w:rPr>
                              <w:t xml:space="preserve">Complications of NGT/OGT misplacement include malnutrition, pulmonary aspiration, and even death. </w:t>
                            </w:r>
                          </w:p>
                          <w:p w:rsidR="00A305A6" w:rsidRDefault="00A305A6" w:rsidP="00A305A6">
                            <w:pPr>
                              <w:pStyle w:val="ListParagraph"/>
                              <w:numPr>
                                <w:ilvl w:val="1"/>
                                <w:numId w:val="1"/>
                              </w:numPr>
                              <w:spacing w:line="216" w:lineRule="auto"/>
                              <w:rPr>
                                <w:rFonts w:eastAsia="Times New Roman"/>
                                <w:sz w:val="60"/>
                              </w:rPr>
                            </w:pPr>
                            <w:r>
                              <w:rPr>
                                <w:rFonts w:asciiTheme="minorHAnsi" w:hAnsi="Calibri" w:cstheme="minorBidi"/>
                                <w:color w:val="000000" w:themeColor="dark1"/>
                                <w:kern w:val="24"/>
                                <w:sz w:val="60"/>
                                <w:szCs w:val="60"/>
                                <w14:textFill>
                                  <w14:solidFill>
                                    <w14:schemeClr w14:val="dk1">
                                      <w14:satOff w14:val="0"/>
                                      <w14:lumOff w14:val="0"/>
                                    </w14:schemeClr>
                                  </w14:solidFill>
                                </w14:textFill>
                              </w:rPr>
                              <w:t xml:space="preserve">About 1.9% of feeding tubes are misplaced and commonly lead to pneumothorax (1 in 5) and death (1in 39) (Thomas, Lawson, &amp; Shaw, 2007). </w:t>
                            </w:r>
                          </w:p>
                        </w:txbxContent>
                      </wps:txbx>
                      <wps:bodyPr spcFirstLastPara="0" vert="horz" wrap="square" lIns="538171" tIns="624840" rIns="538171" bIns="213360" numCol="1" spcCol="1270" anchor="t" anchorCtr="0">
                        <a:noAutofit/>
                      </wps:bodyPr>
                    </wps:wsp>
                  </a:graphicData>
                </a:graphic>
              </wp:anchor>
            </w:drawing>
          </mc:Choice>
          <mc:Fallback>
            <w:pict>
              <v:shape w14:anchorId="7F26B49A" id="Freeform 24" o:spid="_x0000_s1028" style="position:absolute;margin-left:0;margin-top:636pt;width:546pt;height:529.15pt;z-index:251666432;visibility:visible;mso-wrap-style:square;mso-wrap-distance-left:9pt;mso-wrap-distance-top:0;mso-wrap-distance-right:9pt;mso-wrap-distance-bottom:0;mso-position-horizontal:absolute;mso-position-horizontal-relative:text;mso-position-vertical:absolute;mso-position-vertical-relative:text;v-text-anchor:top" coordsize="6934200,6426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" adj="-11796480,,5400" path="m,l6934200,r,6426000l,6426000,,xe" fillcolor="white [3201]" strokecolor="#4f81bd [3204]" strokeweight="2pt">
                <v:fill opacity="59110f"/>
                <v:stroke joinstyle="miter"/>
                <v:formulas/>
                <v:path arrowok="t" o:connecttype="custom" o:connectlocs="0,0;6934200,0;6934200,6720006;0,6720006;0,0" o:connectangles="0,0,0,0,0" textboxrect="0,0,6934200,6426000"/>
                <v:textbox inset="14.94919mm,49.2pt,14.94919mm,16.8pt">
                  <w:txbxContent>
                    <w:p w:rsidR="00A305A6" w:rsidRDefault="00A305A6" w:rsidP="00A305A6">
                      <w:pPr>
                        <w:pStyle w:val="ListParagraph"/>
                        <w:numPr>
                          <w:ilvl w:val="1"/>
                          <w:numId w:val="1"/>
                        </w:numPr>
                        <w:spacing w:line="216" w:lineRule="auto"/>
                        <w:rPr>
                          <w:rFonts w:eastAsia="Times New Roman"/>
                          <w:sz w:val="60"/>
                        </w:rPr>
                      </w:pPr>
                      <w:r>
                        <w:rPr>
                          <w:rFonts w:asciiTheme="minorHAnsi" w:hAnsi="Calibri" w:cstheme="minorBidi"/>
                          <w:color w:val="000000" w:themeColor="dark1"/>
                          <w:kern w:val="24"/>
                          <w:sz w:val="60"/>
                          <w:szCs w:val="60"/>
                          <w14:textFill>
                            <w14:solidFill>
                              <w14:schemeClr w14:val="dk1">
                                <w14:satOff w14:val="0"/>
                                <w14:lumOff w14:val="0"/>
                              </w14:schemeClr>
                            </w14:solidFill>
                          </w14:textFill>
                        </w:rPr>
                        <w:t>Nasogastric/ Orogastric (NGT/OGT) are commonly used for enteral feeding. The insertion of NGT/OGT is associated with a risk to patient’s safety because is blindly procedure.</w:t>
                      </w:r>
                    </w:p>
                    <w:p w:rsidR="00A305A6" w:rsidRDefault="00A305A6" w:rsidP="00A305A6">
                      <w:pPr>
                        <w:pStyle w:val="ListParagraph"/>
                        <w:numPr>
                          <w:ilvl w:val="1"/>
                          <w:numId w:val="1"/>
                        </w:numPr>
                        <w:spacing w:line="216" w:lineRule="auto"/>
                        <w:rPr>
                          <w:rFonts w:eastAsia="Times New Roman"/>
                          <w:sz w:val="60"/>
                        </w:rPr>
                      </w:pPr>
                      <w:r>
                        <w:rPr>
                          <w:rFonts w:asciiTheme="minorHAnsi" w:hAnsi="Calibri" w:cstheme="minorBidi"/>
                          <w:color w:val="000000" w:themeColor="dark1"/>
                          <w:kern w:val="24"/>
                          <w:sz w:val="60"/>
                          <w:szCs w:val="60"/>
                          <w14:textFill>
                            <w14:solidFill>
                              <w14:schemeClr w14:val="dk1">
                                <w14:satOff w14:val="0"/>
                                <w14:lumOff w14:val="0"/>
                              </w14:schemeClr>
                            </w14:solidFill>
                          </w14:textFill>
                        </w:rPr>
                        <w:t xml:space="preserve">Complications of NGT/OGT misplacement include malnutrition, pulmonary aspiration, and even death. </w:t>
                      </w:r>
                    </w:p>
                    <w:p w:rsidR="00A305A6" w:rsidRDefault="00A305A6" w:rsidP="00A305A6">
                      <w:pPr>
                        <w:pStyle w:val="ListParagraph"/>
                        <w:numPr>
                          <w:ilvl w:val="1"/>
                          <w:numId w:val="1"/>
                        </w:numPr>
                        <w:spacing w:line="216" w:lineRule="auto"/>
                        <w:rPr>
                          <w:rFonts w:eastAsia="Times New Roman"/>
                          <w:sz w:val="60"/>
                        </w:rPr>
                      </w:pPr>
                      <w:r>
                        <w:rPr>
                          <w:rFonts w:asciiTheme="minorHAnsi" w:hAnsi="Calibri" w:cstheme="minorBidi"/>
                          <w:color w:val="000000" w:themeColor="dark1"/>
                          <w:kern w:val="24"/>
                          <w:sz w:val="60"/>
                          <w:szCs w:val="60"/>
                          <w14:textFill>
                            <w14:solidFill>
                              <w14:schemeClr w14:val="dk1">
                                <w14:satOff w14:val="0"/>
                                <w14:lumOff w14:val="0"/>
                              </w14:schemeClr>
                            </w14:solidFill>
                          </w14:textFill>
                        </w:rPr>
                        <w:t xml:space="preserve">About 1.9% of feeding tubes are misplaced and commonly lead to pneumothorax (1 in 5) and death (1in 39) (Thomas, Lawson, &amp; Shaw, 2007). </w:t>
                      </w:r>
                    </w:p>
                  </w:txbxContent>
                </v:textbox>
              </v:shape>
            </w:pict>
          </mc:Fallback>
        </mc:AlternateContent>
      </w:r>
      <w:r>
        <w:rPr>
          <w:noProof/>
        </w:rPr>
        <mc:AlternateContent>
          <mc:Choice Requires="wpg">
            <w:drawing>
              <wp:anchor distT="0" distB="0" distL="114300" distR="114300" simplePos="0" relativeHeight="251668480" behindDoc="0" locked="0" layoutInCell="1" allowOverlap="1" wp14:anchorId="0476121D" wp14:editId="40A18DD8">
                <wp:simplePos x="0" y="0"/>
                <wp:positionH relativeFrom="column">
                  <wp:posOffset>28575</wp:posOffset>
                </wp:positionH>
                <wp:positionV relativeFrom="paragraph">
                  <wp:posOffset>21869400</wp:posOffset>
                </wp:positionV>
                <wp:extent cx="6934200" cy="3136050"/>
                <wp:effectExtent l="0" t="0" r="19050" b="26670"/>
                <wp:wrapNone/>
                <wp:docPr id="45" name="Group 44"/>
                <wp:cNvGraphicFramePr/>
                <a:graphic xmlns:a="http://schemas.openxmlformats.org/drawingml/2006/main">
                  <a:graphicData uri="http://schemas.microsoft.com/office/word/2010/wordprocessingGroup">
                    <wpg:wgp>
                      <wpg:cNvGrpSpPr/>
                      <wpg:grpSpPr>
                        <a:xfrm>
                          <a:off x="0" y="0"/>
                          <a:ext cx="6934200" cy="3136050"/>
                          <a:chOff x="15240" y="10933367"/>
                          <a:chExt cx="6934200" cy="3136050"/>
                        </a:xfrm>
                      </wpg:grpSpPr>
                      <wps:wsp>
                        <wps:cNvPr id="8" name="Freeform 8"/>
                        <wps:cNvSpPr/>
                        <wps:spPr>
                          <a:xfrm>
                            <a:off x="15240" y="11376167"/>
                            <a:ext cx="6934200" cy="2693250"/>
                          </a:xfrm>
                          <a:custGeom>
                            <a:avLst/>
                            <a:gdLst>
                              <a:gd name="connsiteX0" fmla="*/ 0 w 6934200"/>
                              <a:gd name="connsiteY0" fmla="*/ 0 h 2693250"/>
                              <a:gd name="connsiteX1" fmla="*/ 6934200 w 6934200"/>
                              <a:gd name="connsiteY1" fmla="*/ 0 h 2693250"/>
                              <a:gd name="connsiteX2" fmla="*/ 6934200 w 6934200"/>
                              <a:gd name="connsiteY2" fmla="*/ 2693250 h 2693250"/>
                              <a:gd name="connsiteX3" fmla="*/ 0 w 6934200"/>
                              <a:gd name="connsiteY3" fmla="*/ 2693250 h 2693250"/>
                              <a:gd name="connsiteX4" fmla="*/ 0 w 6934200"/>
                              <a:gd name="connsiteY4" fmla="*/ 0 h 269325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934200" h="2693250">
                                <a:moveTo>
                                  <a:pt x="0" y="0"/>
                                </a:moveTo>
                                <a:lnTo>
                                  <a:pt x="6934200" y="0"/>
                                </a:lnTo>
                                <a:lnTo>
                                  <a:pt x="6934200" y="2693250"/>
                                </a:lnTo>
                                <a:lnTo>
                                  <a:pt x="0" y="2693250"/>
                                </a:lnTo>
                                <a:lnTo>
                                  <a:pt x="0" y="0"/>
                                </a:lnTo>
                                <a:close/>
                              </a:path>
                            </a:pathLst>
                          </a:custGeom>
                        </wps:spPr>
                        <wps:style>
                          <a:lnRef idx="2">
                            <a:schemeClr val="accent1">
                              <a:hueOff val="0"/>
                              <a:satOff val="0"/>
                              <a:lumOff val="0"/>
                              <a:alphaOff val="0"/>
                            </a:schemeClr>
                          </a:lnRef>
                          <a:fillRef idx="1">
                            <a:schemeClr val="lt1">
                              <a:alpha val="90000"/>
                              <a:hueOff val="0"/>
                              <a:satOff val="0"/>
                              <a:lumOff val="0"/>
                              <a:alphaOff val="0"/>
                            </a:schemeClr>
                          </a:fillRef>
                          <a:effectRef idx="0">
                            <a:schemeClr val="lt1">
                              <a:alpha val="90000"/>
                              <a:hueOff val="0"/>
                              <a:satOff val="0"/>
                              <a:lumOff val="0"/>
                              <a:alphaOff val="0"/>
                            </a:schemeClr>
                          </a:effectRef>
                          <a:fontRef idx="minor">
                            <a:schemeClr val="dk1">
                              <a:hueOff val="0"/>
                              <a:satOff val="0"/>
                              <a:lumOff val="0"/>
                              <a:alphaOff val="0"/>
                            </a:schemeClr>
                          </a:fontRef>
                        </wps:style>
                        <wps:txbx>
                          <w:txbxContent>
                            <w:p w:rsidR="00A305A6" w:rsidRDefault="00A305A6" w:rsidP="00A305A6">
                              <w:pPr>
                                <w:pStyle w:val="ListParagraph"/>
                                <w:numPr>
                                  <w:ilvl w:val="1"/>
                                  <w:numId w:val="2"/>
                                </w:numPr>
                                <w:spacing w:line="216" w:lineRule="auto"/>
                                <w:rPr>
                                  <w:rFonts w:eastAsia="Times New Roman"/>
                                  <w:sz w:val="60"/>
                                </w:rPr>
                              </w:pPr>
                              <w:r>
                                <w:rPr>
                                  <w:rFonts w:asciiTheme="minorHAnsi" w:hAnsi="Calibri" w:cstheme="minorBidi"/>
                                  <w:color w:val="000000" w:themeColor="dark1"/>
                                  <w:kern w:val="24"/>
                                  <w:sz w:val="60"/>
                                  <w:szCs w:val="60"/>
                                  <w14:textFill>
                                    <w14:solidFill>
                                      <w14:schemeClr w14:val="dk1">
                                        <w14:satOff w14:val="0"/>
                                        <w14:lumOff w14:val="0"/>
                                      </w14:schemeClr>
                                    </w14:solidFill>
                                  </w14:textFill>
                                </w:rPr>
                                <w:t>Time constraints for nurses</w:t>
                              </w:r>
                            </w:p>
                            <w:p w:rsidR="00A305A6" w:rsidRDefault="00A305A6" w:rsidP="00A305A6">
                              <w:pPr>
                                <w:pStyle w:val="ListParagraph"/>
                                <w:numPr>
                                  <w:ilvl w:val="1"/>
                                  <w:numId w:val="2"/>
                                </w:numPr>
                                <w:spacing w:line="216" w:lineRule="auto"/>
                                <w:rPr>
                                  <w:rFonts w:eastAsia="Times New Roman"/>
                                  <w:sz w:val="60"/>
                                </w:rPr>
                              </w:pPr>
                              <w:r>
                                <w:rPr>
                                  <w:rFonts w:asciiTheme="minorHAnsi" w:hAnsi="Calibri" w:cstheme="minorBidi"/>
                                  <w:color w:val="000000" w:themeColor="dark1"/>
                                  <w:kern w:val="24"/>
                                  <w:sz w:val="60"/>
                                  <w:szCs w:val="60"/>
                                  <w14:textFill>
                                    <w14:solidFill>
                                      <w14:schemeClr w14:val="dk1">
                                        <w14:satOff w14:val="0"/>
                                        <w14:lumOff w14:val="0"/>
                                      </w14:schemeClr>
                                    </w14:solidFill>
                                  </w14:textFill>
                                </w:rPr>
                                <w:t xml:space="preserve">Unavailable financial support for new equipment  </w:t>
                              </w:r>
                            </w:p>
                            <w:p w:rsidR="00A305A6" w:rsidRDefault="00A305A6" w:rsidP="00A305A6">
                              <w:pPr>
                                <w:pStyle w:val="ListParagraph"/>
                                <w:numPr>
                                  <w:ilvl w:val="1"/>
                                  <w:numId w:val="2"/>
                                </w:numPr>
                                <w:spacing w:line="216" w:lineRule="auto"/>
                                <w:rPr>
                                  <w:rFonts w:eastAsia="Times New Roman"/>
                                  <w:sz w:val="60"/>
                                </w:rPr>
                              </w:pPr>
                              <w:r>
                                <w:rPr>
                                  <w:rFonts w:asciiTheme="minorHAnsi" w:hAnsi="Calibri" w:cstheme="minorBidi"/>
                                  <w:color w:val="000000" w:themeColor="dark1"/>
                                  <w:kern w:val="24"/>
                                  <w:sz w:val="60"/>
                                  <w:szCs w:val="60"/>
                                  <w14:textFill>
                                    <w14:solidFill>
                                      <w14:schemeClr w14:val="dk1">
                                        <w14:satOff w14:val="0"/>
                                        <w14:lumOff w14:val="0"/>
                                      </w14:schemeClr>
                                    </w14:solidFill>
                                  </w14:textFill>
                                </w:rPr>
                                <w:t xml:space="preserve">Poor communications  </w:t>
                              </w:r>
                            </w:p>
                          </w:txbxContent>
                        </wps:txbx>
                        <wps:bodyPr spcFirstLastPara="0" vert="horz" wrap="square" lIns="538171" tIns="624840" rIns="538171" bIns="213360" numCol="1" spcCol="1270" anchor="t" anchorCtr="0">
                          <a:noAutofit/>
                        </wps:bodyPr>
                      </wps:wsp>
                      <wps:wsp>
                        <wps:cNvPr id="9" name="Freeform 9"/>
                        <wps:cNvSpPr/>
                        <wps:spPr>
                          <a:xfrm>
                            <a:off x="361950" y="10933367"/>
                            <a:ext cx="4853940" cy="885600"/>
                          </a:xfrm>
                          <a:custGeom>
                            <a:avLst/>
                            <a:gdLst>
                              <a:gd name="connsiteX0" fmla="*/ 0 w 4853940"/>
                              <a:gd name="connsiteY0" fmla="*/ 147603 h 885600"/>
                              <a:gd name="connsiteX1" fmla="*/ 147603 w 4853940"/>
                              <a:gd name="connsiteY1" fmla="*/ 0 h 885600"/>
                              <a:gd name="connsiteX2" fmla="*/ 4706337 w 4853940"/>
                              <a:gd name="connsiteY2" fmla="*/ 0 h 885600"/>
                              <a:gd name="connsiteX3" fmla="*/ 4853940 w 4853940"/>
                              <a:gd name="connsiteY3" fmla="*/ 147603 h 885600"/>
                              <a:gd name="connsiteX4" fmla="*/ 4853940 w 4853940"/>
                              <a:gd name="connsiteY4" fmla="*/ 737997 h 885600"/>
                              <a:gd name="connsiteX5" fmla="*/ 4706337 w 4853940"/>
                              <a:gd name="connsiteY5" fmla="*/ 885600 h 885600"/>
                              <a:gd name="connsiteX6" fmla="*/ 147603 w 4853940"/>
                              <a:gd name="connsiteY6" fmla="*/ 885600 h 885600"/>
                              <a:gd name="connsiteX7" fmla="*/ 0 w 4853940"/>
                              <a:gd name="connsiteY7" fmla="*/ 737997 h 885600"/>
                              <a:gd name="connsiteX8" fmla="*/ 0 w 4853940"/>
                              <a:gd name="connsiteY8" fmla="*/ 147603 h 8856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853940" h="885600">
                                <a:moveTo>
                                  <a:pt x="0" y="147603"/>
                                </a:moveTo>
                                <a:cubicBezTo>
                                  <a:pt x="0" y="66084"/>
                                  <a:pt x="66084" y="0"/>
                                  <a:pt x="147603" y="0"/>
                                </a:cubicBezTo>
                                <a:lnTo>
                                  <a:pt x="4706337" y="0"/>
                                </a:lnTo>
                                <a:cubicBezTo>
                                  <a:pt x="4787856" y="0"/>
                                  <a:pt x="4853940" y="66084"/>
                                  <a:pt x="4853940" y="147603"/>
                                </a:cubicBezTo>
                                <a:lnTo>
                                  <a:pt x="4853940" y="737997"/>
                                </a:lnTo>
                                <a:cubicBezTo>
                                  <a:pt x="4853940" y="819516"/>
                                  <a:pt x="4787856" y="885600"/>
                                  <a:pt x="4706337" y="885600"/>
                                </a:cubicBezTo>
                                <a:lnTo>
                                  <a:pt x="147603" y="885600"/>
                                </a:lnTo>
                                <a:cubicBezTo>
                                  <a:pt x="66084" y="885600"/>
                                  <a:pt x="0" y="819516"/>
                                  <a:pt x="0" y="737997"/>
                                </a:cubicBezTo>
                                <a:lnTo>
                                  <a:pt x="0" y="147603"/>
                                </a:lnTo>
                                <a:close/>
                              </a:path>
                            </a:pathLst>
                          </a:custGeom>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rsidR="00A305A6" w:rsidRDefault="00A305A6" w:rsidP="00A305A6">
                              <w:pPr>
                                <w:pStyle w:val="NormalWeb"/>
                                <w:spacing w:before="0" w:beforeAutospacing="0" w:after="252" w:afterAutospacing="0" w:line="216" w:lineRule="auto"/>
                              </w:pPr>
                              <w:r>
                                <w:rPr>
                                  <w:rFonts w:asciiTheme="minorHAnsi" w:hAnsi="Calibri" w:cstheme="minorBidi"/>
                                  <w:b/>
                                  <w:bCs/>
                                  <w:color w:val="FFFFFF" w:themeColor="light1"/>
                                  <w:kern w:val="24"/>
                                  <w:sz w:val="60"/>
                                  <w:szCs w:val="60"/>
                                </w:rPr>
                                <w:t>BARRIERS</w:t>
                              </w:r>
                              <w:r>
                                <w:rPr>
                                  <w:rFonts w:asciiTheme="minorHAnsi" w:hAnsi="Calibri" w:cstheme="minorBidi"/>
                                  <w:b/>
                                  <w:bCs/>
                                  <w:color w:val="FFFFFF" w:themeColor="light1"/>
                                  <w:kern w:val="24"/>
                                  <w:sz w:val="60"/>
                                  <w:szCs w:val="60"/>
                                </w:rPr>
                                <w:tab/>
                              </w:r>
                            </w:p>
                          </w:txbxContent>
                        </wps:txbx>
                        <wps:bodyPr spcFirstLastPara="0" vert="horz" wrap="square" lIns="226698" tIns="43231" rIns="226698" bIns="43231" numCol="1" spcCol="1270" anchor="ctr" anchorCtr="0">
                          <a:noAutofit/>
                        </wps:bodyPr>
                      </wps:wsp>
                    </wpg:wgp>
                  </a:graphicData>
                </a:graphic>
              </wp:anchor>
            </w:drawing>
          </mc:Choice>
          <mc:Fallback>
            <w:pict>
              <v:group w14:anchorId="0476121D" id="Group 44" o:spid="_x0000_s1029" style="position:absolute;margin-left:2.25pt;margin-top:1722pt;width:546pt;height:246.95pt;z-index:251668480" coordorigin="152,109333" coordsize="69342,31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">
                <v:shape id="Freeform 8" o:spid="_x0000_s1030" style="position:absolute;left:152;top:113761;width:69342;height:26933;visibility:visible;mso-wrap-style:square;v-text-anchor:top" coordsize="6934200,269325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S0dMb4A&#10;AADaAAAADwAAAGRycy9kb3ducmV2LnhtbERPy4rCMBTdD/gP4QruxkSRQapRRGZgdlMf4PbSXNtq&#10;c1OTqNWvN4sBl4fzni8724gb+VA71jAaKhDEhTM1lxr2u5/PKYgQkQ02jknDgwIsF72POWbG3XlD&#10;t20sRQrhkKGGKsY2kzIUFVkMQ9cSJ+7ovMWYoC+l8XhP4baRY6W+pMWaU0OFLa0rKs7bq9WQXw67&#10;q5kUxz/1nXf+eVJ5GCutB/1uNQMRqYtv8b/712hIW9OVdAPk4g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EtHTG+AAAA2gAAAA8AAAAAAAAAAAAAAAAAmAIAAGRycy9kb3ducmV2&#10;LnhtbFBLBQYAAAAABAAEAPUAAACDAwAAAAA=&#10;" adj="-11796480,,5400" path="m,l6934200,r,2693250l,2693250,,xe" fillcolor="white [3201]" strokecolor="#4f81bd [3204]" strokeweight="2pt">
                  <v:fill opacity="59110f"/>
                  <v:stroke joinstyle="miter"/>
                  <v:formulas/>
                  <v:path arrowok="t" o:connecttype="custom" o:connectlocs="0,0;6934200,0;6934200,2693250;0,2693250;0,0" o:connectangles="0,0,0,0,0" textboxrect="0,0,6934200,2693250"/>
                  <v:textbox inset="14.94919mm,49.2pt,14.94919mm,16.8pt">
                    <w:txbxContent>
                      <w:p w:rsidR="00A305A6" w:rsidRDefault="00A305A6" w:rsidP="00A305A6">
                        <w:pPr>
                          <w:pStyle w:val="ListParagraph"/>
                          <w:numPr>
                            <w:ilvl w:val="1"/>
                            <w:numId w:val="2"/>
                          </w:numPr>
                          <w:spacing w:line="216" w:lineRule="auto"/>
                          <w:rPr>
                            <w:rFonts w:eastAsia="Times New Roman"/>
                            <w:sz w:val="60"/>
                          </w:rPr>
                        </w:pPr>
                        <w:r>
                          <w:rPr>
                            <w:rFonts w:asciiTheme="minorHAnsi" w:hAnsi="Calibri" w:cstheme="minorBidi"/>
                            <w:color w:val="000000" w:themeColor="dark1"/>
                            <w:kern w:val="24"/>
                            <w:sz w:val="60"/>
                            <w:szCs w:val="60"/>
                            <w14:textFill>
                              <w14:solidFill>
                                <w14:schemeClr w14:val="dk1">
                                  <w14:satOff w14:val="0"/>
                                  <w14:lumOff w14:val="0"/>
                                </w14:schemeClr>
                              </w14:solidFill>
                            </w14:textFill>
                          </w:rPr>
                          <w:t>Time constraints for nurses</w:t>
                        </w:r>
                      </w:p>
                      <w:p w:rsidR="00A305A6" w:rsidRDefault="00A305A6" w:rsidP="00A305A6">
                        <w:pPr>
                          <w:pStyle w:val="ListParagraph"/>
                          <w:numPr>
                            <w:ilvl w:val="1"/>
                            <w:numId w:val="2"/>
                          </w:numPr>
                          <w:spacing w:line="216" w:lineRule="auto"/>
                          <w:rPr>
                            <w:rFonts w:eastAsia="Times New Roman"/>
                            <w:sz w:val="60"/>
                          </w:rPr>
                        </w:pPr>
                        <w:r>
                          <w:rPr>
                            <w:rFonts w:asciiTheme="minorHAnsi" w:hAnsi="Calibri" w:cstheme="minorBidi"/>
                            <w:color w:val="000000" w:themeColor="dark1"/>
                            <w:kern w:val="24"/>
                            <w:sz w:val="60"/>
                            <w:szCs w:val="60"/>
                            <w14:textFill>
                              <w14:solidFill>
                                <w14:schemeClr w14:val="dk1">
                                  <w14:satOff w14:val="0"/>
                                  <w14:lumOff w14:val="0"/>
                                </w14:schemeClr>
                              </w14:solidFill>
                            </w14:textFill>
                          </w:rPr>
                          <w:t xml:space="preserve">Unavailable financial support for new equipment  </w:t>
                        </w:r>
                      </w:p>
                      <w:p w:rsidR="00A305A6" w:rsidRDefault="00A305A6" w:rsidP="00A305A6">
                        <w:pPr>
                          <w:pStyle w:val="ListParagraph"/>
                          <w:numPr>
                            <w:ilvl w:val="1"/>
                            <w:numId w:val="2"/>
                          </w:numPr>
                          <w:spacing w:line="216" w:lineRule="auto"/>
                          <w:rPr>
                            <w:rFonts w:eastAsia="Times New Roman"/>
                            <w:sz w:val="60"/>
                          </w:rPr>
                        </w:pPr>
                        <w:r>
                          <w:rPr>
                            <w:rFonts w:asciiTheme="minorHAnsi" w:hAnsi="Calibri" w:cstheme="minorBidi"/>
                            <w:color w:val="000000" w:themeColor="dark1"/>
                            <w:kern w:val="24"/>
                            <w:sz w:val="60"/>
                            <w:szCs w:val="60"/>
                            <w14:textFill>
                              <w14:solidFill>
                                <w14:schemeClr w14:val="dk1">
                                  <w14:satOff w14:val="0"/>
                                  <w14:lumOff w14:val="0"/>
                                </w14:schemeClr>
                              </w14:solidFill>
                            </w14:textFill>
                          </w:rPr>
                          <w:t xml:space="preserve">Poor communications  </w:t>
                        </w:r>
                      </w:p>
                    </w:txbxContent>
                  </v:textbox>
                </v:shape>
                <v:shape id="Freeform 9" o:spid="_x0000_s1031" style="position:absolute;left:3619;top:109333;width:48539;height:8856;visibility:visible;mso-wrap-style:square;v-text-anchor:middle" coordsize="4853940,885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vk8IA&#10;AADaAAAADwAAAGRycy9kb3ducmV2LnhtbESPwWrDMBBE74H8g9hCb7HcQovrRjYhTcCQS+P0A7bS&#10;xjaxVsZSY/fvo0Ihx2Fm3jDrcra9uNLoO8cKnpIUBLF2puNGwddpv8pA+IBssHdMCn7JQ1ksF2vM&#10;jZv4SNc6NCJC2OeooA1hyKX0uiWLPnEDcfTObrQYohwbaUacItz28jlNX6XFjuNCiwNtW9KX+scq&#10;2GdYue+P+WX3udP9mTJzmKqg1OPDvHkHEWgO9/B/uzIK3uDvSrwBsr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z6+TwgAAANoAAAAPAAAAAAAAAAAAAAAAAJgCAABkcnMvZG93&#10;bnJldi54bWxQSwUGAAAAAAQABAD1AAAAhwMAAAAA&#10;" adj="-11796480,,5400" path="m,147603c,66084,66084,,147603,l4706337,v81519,,147603,66084,147603,147603l4853940,737997v,81519,-66084,147603,-147603,147603l147603,885600c66084,885600,,819516,,737997l,147603xe" fillcolor="#4f81bd [3204]" strokecolor="white [3201]" strokeweight="2pt">
                  <v:stroke joinstyle="miter"/>
                  <v:formulas/>
                  <v:path arrowok="t" o:connecttype="custom" o:connectlocs="0,147603;147603,0;4706337,0;4853940,147603;4853940,737997;4706337,885600;147603,885600;0,737997;0,147603" o:connectangles="0,0,0,0,0,0,0,0,0" textboxrect="0,0,4853940,885600"/>
                  <v:textbox inset="6.29717mm,1.2009mm,6.29717mm,1.2009mm">
                    <w:txbxContent>
                      <w:p w:rsidR="00A305A6" w:rsidRDefault="00A305A6" w:rsidP="00A305A6">
                        <w:pPr>
                          <w:pStyle w:val="NormalWeb"/>
                          <w:spacing w:before="0" w:beforeAutospacing="0" w:after="252" w:afterAutospacing="0" w:line="216" w:lineRule="auto"/>
                        </w:pPr>
                        <w:r>
                          <w:rPr>
                            <w:rFonts w:asciiTheme="minorHAnsi" w:hAnsi="Calibri" w:cstheme="minorBidi"/>
                            <w:b/>
                            <w:bCs/>
                            <w:color w:val="FFFFFF" w:themeColor="light1"/>
                            <w:kern w:val="24"/>
                            <w:sz w:val="60"/>
                            <w:szCs w:val="60"/>
                          </w:rPr>
                          <w:t>BARRIERS</w:t>
                        </w:r>
                        <w:r>
                          <w:rPr>
                            <w:rFonts w:asciiTheme="minorHAnsi" w:hAnsi="Calibri" w:cstheme="minorBidi"/>
                            <w:b/>
                            <w:bCs/>
                            <w:color w:val="FFFFFF" w:themeColor="light1"/>
                            <w:kern w:val="24"/>
                            <w:sz w:val="60"/>
                            <w:szCs w:val="60"/>
                          </w:rPr>
                          <w:tab/>
                        </w:r>
                      </w:p>
                    </w:txbxContent>
                  </v:textbox>
                </v:shape>
              </v:group>
            </w:pict>
          </mc:Fallback>
        </mc:AlternateContent>
      </w:r>
      <w:r>
        <w:rPr>
          <w:noProof/>
        </w:rPr>
        <mc:AlternateContent>
          <mc:Choice Requires="wpg">
            <w:drawing>
              <wp:anchor distT="0" distB="0" distL="114300" distR="114300" simplePos="0" relativeHeight="251669504" behindDoc="0" locked="0" layoutInCell="1" allowOverlap="1" wp14:anchorId="10CB70DD" wp14:editId="67B57625">
                <wp:simplePos x="0" y="0"/>
                <wp:positionH relativeFrom="column">
                  <wp:posOffset>0</wp:posOffset>
                </wp:positionH>
                <wp:positionV relativeFrom="paragraph">
                  <wp:posOffset>28594050</wp:posOffset>
                </wp:positionV>
                <wp:extent cx="6934200" cy="5335126"/>
                <wp:effectExtent l="0" t="0" r="19050" b="18415"/>
                <wp:wrapNone/>
                <wp:docPr id="46" name="Group 45"/>
                <wp:cNvGraphicFramePr/>
                <a:graphic xmlns:a="http://schemas.openxmlformats.org/drawingml/2006/main">
                  <a:graphicData uri="http://schemas.microsoft.com/office/word/2010/wordprocessingGroup">
                    <wpg:wgp>
                      <wpg:cNvGrpSpPr/>
                      <wpg:grpSpPr>
                        <a:xfrm>
                          <a:off x="0" y="0"/>
                          <a:ext cx="6934200" cy="5335126"/>
                          <a:chOff x="0" y="14297312"/>
                          <a:chExt cx="6934200" cy="5335126"/>
                        </a:xfrm>
                      </wpg:grpSpPr>
                      <wps:wsp>
                        <wps:cNvPr id="11" name="Freeform 11"/>
                        <wps:cNvSpPr/>
                        <wps:spPr>
                          <a:xfrm>
                            <a:off x="0" y="14740112"/>
                            <a:ext cx="6934200" cy="4892326"/>
                          </a:xfrm>
                          <a:custGeom>
                            <a:avLst/>
                            <a:gdLst>
                              <a:gd name="connsiteX0" fmla="*/ 0 w 6934200"/>
                              <a:gd name="connsiteY0" fmla="*/ 0 h 4630500"/>
                              <a:gd name="connsiteX1" fmla="*/ 6934200 w 6934200"/>
                              <a:gd name="connsiteY1" fmla="*/ 0 h 4630500"/>
                              <a:gd name="connsiteX2" fmla="*/ 6934200 w 6934200"/>
                              <a:gd name="connsiteY2" fmla="*/ 4630500 h 4630500"/>
                              <a:gd name="connsiteX3" fmla="*/ 0 w 6934200"/>
                              <a:gd name="connsiteY3" fmla="*/ 4630500 h 4630500"/>
                              <a:gd name="connsiteX4" fmla="*/ 0 w 6934200"/>
                              <a:gd name="connsiteY4" fmla="*/ 0 h 46305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934200" h="4630500">
                                <a:moveTo>
                                  <a:pt x="0" y="0"/>
                                </a:moveTo>
                                <a:lnTo>
                                  <a:pt x="6934200" y="0"/>
                                </a:lnTo>
                                <a:lnTo>
                                  <a:pt x="6934200" y="4630500"/>
                                </a:lnTo>
                                <a:lnTo>
                                  <a:pt x="0" y="4630500"/>
                                </a:lnTo>
                                <a:lnTo>
                                  <a:pt x="0" y="0"/>
                                </a:lnTo>
                                <a:close/>
                              </a:path>
                            </a:pathLst>
                          </a:custGeom>
                          <a:noFill/>
                        </wps:spPr>
                        <wps:style>
                          <a:lnRef idx="2">
                            <a:schemeClr val="accent1">
                              <a:hueOff val="0"/>
                              <a:satOff val="0"/>
                              <a:lumOff val="0"/>
                              <a:alphaOff val="0"/>
                            </a:schemeClr>
                          </a:lnRef>
                          <a:fillRef idx="1">
                            <a:scrgbClr r="0" g="0" b="0"/>
                          </a:fillRef>
                          <a:effectRef idx="0">
                            <a:schemeClr val="lt1">
                              <a:alpha val="90000"/>
                              <a:hueOff val="0"/>
                              <a:satOff val="0"/>
                              <a:lumOff val="0"/>
                              <a:alphaOff val="0"/>
                            </a:schemeClr>
                          </a:effectRef>
                          <a:fontRef idx="minor">
                            <a:schemeClr val="dk1">
                              <a:hueOff val="0"/>
                              <a:satOff val="0"/>
                              <a:lumOff val="0"/>
                              <a:alphaOff val="0"/>
                            </a:schemeClr>
                          </a:fontRef>
                        </wps:style>
                        <wps:txbx>
                          <w:txbxContent>
                            <w:p w:rsidR="00A305A6" w:rsidRDefault="00A305A6" w:rsidP="00A305A6">
                              <w:pPr>
                                <w:pStyle w:val="ListParagraph"/>
                                <w:numPr>
                                  <w:ilvl w:val="1"/>
                                  <w:numId w:val="3"/>
                                </w:numPr>
                                <w:spacing w:line="216" w:lineRule="auto"/>
                                <w:rPr>
                                  <w:rFonts w:eastAsia="Times New Roman"/>
                                  <w:sz w:val="60"/>
                                </w:rPr>
                              </w:pPr>
                              <w:r>
                                <w:rPr>
                                  <w:rFonts w:asciiTheme="minorHAnsi" w:hAnsi="Calibri" w:cstheme="minorBidi"/>
                                  <w:b/>
                                  <w:bCs/>
                                  <w:color w:val="000000" w:themeColor="dark1"/>
                                  <w:kern w:val="24"/>
                                  <w:sz w:val="60"/>
                                  <w:szCs w:val="60"/>
                                  <w14:textFill>
                                    <w14:solidFill>
                                      <w14:schemeClr w14:val="dk1">
                                        <w14:satOff w14:val="0"/>
                                        <w14:lumOff w14:val="0"/>
                                      </w14:schemeClr>
                                    </w14:solidFill>
                                  </w14:textFill>
                                </w:rPr>
                                <w:t xml:space="preserve">Norma Metheny PhD - </w:t>
                              </w:r>
                              <w:r>
                                <w:rPr>
                                  <w:rFonts w:asciiTheme="minorHAnsi" w:hAnsi="Calibri" w:cstheme="minorBidi"/>
                                  <w:color w:val="000000" w:themeColor="dark1"/>
                                  <w:kern w:val="24"/>
                                  <w:sz w:val="60"/>
                                  <w:szCs w:val="60"/>
                                  <w14:textFill>
                                    <w14:solidFill>
                                      <w14:schemeClr w14:val="dk1">
                                        <w14:satOff w14:val="0"/>
                                        <w14:lumOff w14:val="0"/>
                                      </w14:schemeClr>
                                    </w14:solidFill>
                                  </w14:textFill>
                                </w:rPr>
                                <w:t xml:space="preserve">The associate dean of research at Saint Louis University School of Nursing was induced in 2014 into                the International Nurse    Researcher Hall of Fame                  by the Honor Society of        Nursing, Sigma Theta   Tau International for her life-          saving feeding tube research. </w:t>
                              </w:r>
                            </w:p>
                          </w:txbxContent>
                        </wps:txbx>
                        <wps:bodyPr spcFirstLastPara="0" vert="horz" wrap="square" lIns="538171" tIns="624840" rIns="538171" bIns="213360" numCol="1" spcCol="1270" anchor="t" anchorCtr="0">
                          <a:noAutofit/>
                        </wps:bodyPr>
                      </wps:wsp>
                      <wps:wsp>
                        <wps:cNvPr id="12" name="Freeform 12"/>
                        <wps:cNvSpPr/>
                        <wps:spPr>
                          <a:xfrm>
                            <a:off x="346710" y="14297312"/>
                            <a:ext cx="4853940" cy="885600"/>
                          </a:xfrm>
                          <a:custGeom>
                            <a:avLst/>
                            <a:gdLst>
                              <a:gd name="connsiteX0" fmla="*/ 0 w 4853940"/>
                              <a:gd name="connsiteY0" fmla="*/ 147603 h 885600"/>
                              <a:gd name="connsiteX1" fmla="*/ 147603 w 4853940"/>
                              <a:gd name="connsiteY1" fmla="*/ 0 h 885600"/>
                              <a:gd name="connsiteX2" fmla="*/ 4706337 w 4853940"/>
                              <a:gd name="connsiteY2" fmla="*/ 0 h 885600"/>
                              <a:gd name="connsiteX3" fmla="*/ 4853940 w 4853940"/>
                              <a:gd name="connsiteY3" fmla="*/ 147603 h 885600"/>
                              <a:gd name="connsiteX4" fmla="*/ 4853940 w 4853940"/>
                              <a:gd name="connsiteY4" fmla="*/ 737997 h 885600"/>
                              <a:gd name="connsiteX5" fmla="*/ 4706337 w 4853940"/>
                              <a:gd name="connsiteY5" fmla="*/ 885600 h 885600"/>
                              <a:gd name="connsiteX6" fmla="*/ 147603 w 4853940"/>
                              <a:gd name="connsiteY6" fmla="*/ 885600 h 885600"/>
                              <a:gd name="connsiteX7" fmla="*/ 0 w 4853940"/>
                              <a:gd name="connsiteY7" fmla="*/ 737997 h 885600"/>
                              <a:gd name="connsiteX8" fmla="*/ 0 w 4853940"/>
                              <a:gd name="connsiteY8" fmla="*/ 147603 h 8856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853940" h="885600">
                                <a:moveTo>
                                  <a:pt x="0" y="147603"/>
                                </a:moveTo>
                                <a:cubicBezTo>
                                  <a:pt x="0" y="66084"/>
                                  <a:pt x="66084" y="0"/>
                                  <a:pt x="147603" y="0"/>
                                </a:cubicBezTo>
                                <a:lnTo>
                                  <a:pt x="4706337" y="0"/>
                                </a:lnTo>
                                <a:cubicBezTo>
                                  <a:pt x="4787856" y="0"/>
                                  <a:pt x="4853940" y="66084"/>
                                  <a:pt x="4853940" y="147603"/>
                                </a:cubicBezTo>
                                <a:lnTo>
                                  <a:pt x="4853940" y="737997"/>
                                </a:lnTo>
                                <a:cubicBezTo>
                                  <a:pt x="4853940" y="819516"/>
                                  <a:pt x="4787856" y="885600"/>
                                  <a:pt x="4706337" y="885600"/>
                                </a:cubicBezTo>
                                <a:lnTo>
                                  <a:pt x="147603" y="885600"/>
                                </a:lnTo>
                                <a:cubicBezTo>
                                  <a:pt x="66084" y="885600"/>
                                  <a:pt x="0" y="819516"/>
                                  <a:pt x="0" y="737997"/>
                                </a:cubicBezTo>
                                <a:lnTo>
                                  <a:pt x="0" y="147603"/>
                                </a:lnTo>
                                <a:close/>
                              </a:path>
                            </a:pathLst>
                          </a:custGeom>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rsidR="00A305A6" w:rsidRDefault="00A305A6" w:rsidP="00A305A6">
                              <w:pPr>
                                <w:pStyle w:val="NormalWeb"/>
                                <w:spacing w:before="0" w:beforeAutospacing="0" w:after="252" w:afterAutospacing="0" w:line="216" w:lineRule="auto"/>
                              </w:pPr>
                              <w:r>
                                <w:rPr>
                                  <w:rFonts w:asciiTheme="minorHAnsi" w:hAnsi="Calibri" w:cstheme="minorBidi"/>
                                  <w:b/>
                                  <w:bCs/>
                                  <w:color w:val="FFFFFF" w:themeColor="light1"/>
                                  <w:kern w:val="24"/>
                                  <w:sz w:val="60"/>
                                  <w:szCs w:val="60"/>
                                </w:rPr>
                                <w:t>BACKGROUND &amp; HISTORY</w:t>
                              </w:r>
                            </w:p>
                          </w:txbxContent>
                        </wps:txbx>
                        <wps:bodyPr spcFirstLastPara="0" vert="horz" wrap="square" lIns="226698" tIns="43231" rIns="226698" bIns="43231" numCol="1" spcCol="1270" anchor="ctr" anchorCtr="0">
                          <a:noAutofit/>
                        </wps:bodyPr>
                      </wps:wsp>
                    </wpg:wgp>
                  </a:graphicData>
                </a:graphic>
              </wp:anchor>
            </w:drawing>
          </mc:Choice>
          <mc:Fallback>
            <w:pict>
              <v:group w14:anchorId="10CB70DD" id="Group 45" o:spid="_x0000_s1032" style="position:absolute;margin-left:0;margin-top:2251.5pt;width:546pt;height:420.1pt;z-index:251669504" coordorigin=",142973" coordsize="69342,533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">
                <v:shape id="Freeform 11" o:spid="_x0000_s1033" style="position:absolute;top:147401;width:69342;height:48923;visibility:visible;mso-wrap-style:square;v-text-anchor:top" coordsize="6934200,46305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385sEA&#10;AADbAAAADwAAAGRycy9kb3ducmV2LnhtbERPS4vCMBC+C/sfwizsTVM9iHSNooJQWFjxwYK3sZk+&#10;sJmUJKvVX28Ewdt8fM+ZzjvTiAs5X1tWMBwkIIhzq2suFRz26/4EhA/IGhvLpOBGHuazj94UU22v&#10;vKXLLpQihrBPUUEVQptK6fOKDPqBbYkjV1hnMEToSqkdXmO4aeQoScbSYM2xocKWVhXl592/UfDz&#10;Wxh5HC+PNrsXf255kqdFtlHq67NbfIMI1IW3+OXOdJw/hOcv8QA5e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4d/ObBAAAA2wAAAA8AAAAAAAAAAAAAAAAAmAIAAGRycy9kb3du&#10;cmV2LnhtbFBLBQYAAAAABAAEAPUAAACGAwAAAAA=&#10;" adj="-11796480,,5400" path="m,l6934200,r,4630500l,4630500,,xe" filled="f" strokecolor="#4f81bd [3204]" strokeweight="2pt">
                  <v:stroke joinstyle="miter"/>
                  <v:formulas/>
                  <v:path arrowok="t" o:connecttype="custom" o:connectlocs="0,0;6934200,0;6934200,4892326;0,4892326;0,0" o:connectangles="0,0,0,0,0" textboxrect="0,0,6934200,4630500"/>
                  <v:textbox inset="14.94919mm,49.2pt,14.94919mm,16.8pt">
                    <w:txbxContent>
                      <w:p w:rsidR="00A305A6" w:rsidRDefault="00A305A6" w:rsidP="00A305A6">
                        <w:pPr>
                          <w:pStyle w:val="ListParagraph"/>
                          <w:numPr>
                            <w:ilvl w:val="1"/>
                            <w:numId w:val="3"/>
                          </w:numPr>
                          <w:spacing w:line="216" w:lineRule="auto"/>
                          <w:rPr>
                            <w:rFonts w:eastAsia="Times New Roman"/>
                            <w:sz w:val="60"/>
                          </w:rPr>
                        </w:pPr>
                        <w:r>
                          <w:rPr>
                            <w:rFonts w:asciiTheme="minorHAnsi" w:hAnsi="Calibri" w:cstheme="minorBidi"/>
                            <w:b/>
                            <w:bCs/>
                            <w:color w:val="000000" w:themeColor="dark1"/>
                            <w:kern w:val="24"/>
                            <w:sz w:val="60"/>
                            <w:szCs w:val="60"/>
                            <w14:textFill>
                              <w14:solidFill>
                                <w14:schemeClr w14:val="dk1">
                                  <w14:satOff w14:val="0"/>
                                  <w14:lumOff w14:val="0"/>
                                </w14:schemeClr>
                              </w14:solidFill>
                            </w14:textFill>
                          </w:rPr>
                          <w:t xml:space="preserve">Norma Metheny PhD - </w:t>
                        </w:r>
                        <w:r>
                          <w:rPr>
                            <w:rFonts w:asciiTheme="minorHAnsi" w:hAnsi="Calibri" w:cstheme="minorBidi"/>
                            <w:color w:val="000000" w:themeColor="dark1"/>
                            <w:kern w:val="24"/>
                            <w:sz w:val="60"/>
                            <w:szCs w:val="60"/>
                            <w14:textFill>
                              <w14:solidFill>
                                <w14:schemeClr w14:val="dk1">
                                  <w14:satOff w14:val="0"/>
                                  <w14:lumOff w14:val="0"/>
                                </w14:schemeClr>
                              </w14:solidFill>
                            </w14:textFill>
                          </w:rPr>
                          <w:t xml:space="preserve">The associate dean of research at Saint Louis University School of Nursing was induced in 2014 into                the International Nurse    Researcher Hall of Fame                  by the Honor Society of        Nursing, Sigma Theta   Tau International for her life-          saving feeding tube research. </w:t>
                        </w:r>
                      </w:p>
                    </w:txbxContent>
                  </v:textbox>
                </v:shape>
                <v:shape id="Freeform 12" o:spid="_x0000_s1034" style="position:absolute;left:3467;top:142973;width:48539;height:8856;visibility:visible;mso-wrap-style:square;v-text-anchor:middle" coordsize="4853940,885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Gam8AA&#10;AADbAAAADwAAAGRycy9kb3ducmV2LnhtbERPzWqDQBC+B/IOyxR6S9YKLWKzSkgUhF7SJA8wcScq&#10;dWfF3ap9+26g0Nt8fL+zyxfTi4lG11lW8LKNQBDXVnfcKLheyk0Cwnlkjb1lUvBDDvJsvdphqu3M&#10;nzSdfSNCCLsUFbTeD6mUrm7JoNvagThwdzsa9AGOjdQjziHc9DKOojdpsOPQ0OJAh5bqr/O3UVAm&#10;WNnbcXktTkXd3ynRH3PllXp+WvbvIDwt/l/85650mB/D45dwgMx+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mGam8AAAADbAAAADwAAAAAAAAAAAAAAAACYAgAAZHJzL2Rvd25y&#10;ZXYueG1sUEsFBgAAAAAEAAQA9QAAAIUDAAAAAA==&#10;" adj="-11796480,,5400" path="m,147603c,66084,66084,,147603,l4706337,v81519,,147603,66084,147603,147603l4853940,737997v,81519,-66084,147603,-147603,147603l147603,885600c66084,885600,,819516,,737997l,147603xe" fillcolor="#4f81bd [3204]" strokecolor="white [3201]" strokeweight="2pt">
                  <v:stroke joinstyle="miter"/>
                  <v:formulas/>
                  <v:path arrowok="t" o:connecttype="custom" o:connectlocs="0,147603;147603,0;4706337,0;4853940,147603;4853940,737997;4706337,885600;147603,885600;0,737997;0,147603" o:connectangles="0,0,0,0,0,0,0,0,0" textboxrect="0,0,4853940,885600"/>
                  <v:textbox inset="6.29717mm,1.2009mm,6.29717mm,1.2009mm">
                    <w:txbxContent>
                      <w:p w:rsidR="00A305A6" w:rsidRDefault="00A305A6" w:rsidP="00A305A6">
                        <w:pPr>
                          <w:pStyle w:val="NormalWeb"/>
                          <w:spacing w:before="0" w:beforeAutospacing="0" w:after="252" w:afterAutospacing="0" w:line="216" w:lineRule="auto"/>
                        </w:pPr>
                        <w:r>
                          <w:rPr>
                            <w:rFonts w:asciiTheme="minorHAnsi" w:hAnsi="Calibri" w:cstheme="minorBidi"/>
                            <w:b/>
                            <w:bCs/>
                            <w:color w:val="FFFFFF" w:themeColor="light1"/>
                            <w:kern w:val="24"/>
                            <w:sz w:val="60"/>
                            <w:szCs w:val="60"/>
                          </w:rPr>
                          <w:t>BACKGROUND &amp; HISTORY</w:t>
                        </w:r>
                      </w:p>
                    </w:txbxContent>
                  </v:textbox>
                </v:shape>
              </v:group>
            </w:pict>
          </mc:Fallback>
        </mc:AlternateContent>
      </w:r>
      <w:r>
        <w:rPr>
          <w:noProof/>
        </w:rPr>
        <mc:AlternateContent>
          <mc:Choice Requires="wpg">
            <w:drawing>
              <wp:anchor distT="0" distB="0" distL="114300" distR="114300" simplePos="0" relativeHeight="251670528" behindDoc="0" locked="0" layoutInCell="1" allowOverlap="1" wp14:anchorId="37825B8F" wp14:editId="1EFF48EE">
                <wp:simplePos x="0" y="0"/>
                <wp:positionH relativeFrom="column">
                  <wp:posOffset>23127970</wp:posOffset>
                </wp:positionH>
                <wp:positionV relativeFrom="paragraph">
                  <wp:posOffset>7101840</wp:posOffset>
                </wp:positionV>
                <wp:extent cx="6172201" cy="7473601"/>
                <wp:effectExtent l="0" t="0" r="0" b="0"/>
                <wp:wrapNone/>
                <wp:docPr id="48" name="Group 47"/>
                <wp:cNvGraphicFramePr/>
                <a:graphic xmlns:a="http://schemas.openxmlformats.org/drawingml/2006/main">
                  <a:graphicData uri="http://schemas.microsoft.com/office/word/2010/wordprocessingGroup">
                    <wpg:wgp>
                      <wpg:cNvGrpSpPr/>
                      <wpg:grpSpPr>
                        <a:xfrm>
                          <a:off x="0" y="0"/>
                          <a:ext cx="6172201" cy="7473601"/>
                          <a:chOff x="12021819" y="4008323"/>
                          <a:chExt cx="6027797" cy="3721608"/>
                        </a:xfrm>
                      </wpg:grpSpPr>
                      <wps:wsp>
                        <wps:cNvPr id="14" name="Rectangle 14"/>
                        <wps:cNvSpPr/>
                        <wps:spPr>
                          <a:xfrm>
                            <a:off x="12021819" y="4008323"/>
                            <a:ext cx="6027797" cy="3721608"/>
                          </a:xfrm>
                          <a:prstGeom prst="rect">
                            <a:avLst/>
                          </a:prstGeom>
                        </wps:spPr>
                        <wps:style>
                          <a:lnRef idx="0">
                            <a:schemeClr val="dk1">
                              <a:alpha val="0"/>
                              <a:hueOff val="0"/>
                              <a:satOff val="0"/>
                              <a:lumOff val="0"/>
                              <a:alphaOff val="0"/>
                            </a:schemeClr>
                          </a:lnRef>
                          <a:fillRef idx="0">
                            <a:schemeClr val="lt1">
                              <a:alpha val="0"/>
                              <a:hueOff val="0"/>
                              <a:satOff val="0"/>
                              <a:lumOff val="0"/>
                              <a:alphaOff val="0"/>
                            </a:schemeClr>
                          </a:fillRef>
                          <a:effectRef idx="0">
                            <a:schemeClr val="lt1">
                              <a:alpha val="0"/>
                              <a:hueOff val="0"/>
                              <a:satOff val="0"/>
                              <a:lumOff val="0"/>
                              <a:alphaOff val="0"/>
                            </a:schemeClr>
                          </a:effectRef>
                          <a:fontRef idx="minor">
                            <a:schemeClr val="tx1">
                              <a:hueOff val="0"/>
                              <a:satOff val="0"/>
                              <a:lumOff val="0"/>
                              <a:alphaOff val="0"/>
                            </a:schemeClr>
                          </a:fontRef>
                        </wps:style>
                        <wps:bodyPr/>
                      </wps:wsp>
                      <wps:wsp>
                        <wps:cNvPr id="15" name="Rectangle 15"/>
                        <wps:cNvSpPr/>
                        <wps:spPr>
                          <a:xfrm>
                            <a:off x="12021819" y="4008323"/>
                            <a:ext cx="6027797" cy="3721608"/>
                          </a:xfrm>
                          <a:prstGeom prst="rect">
                            <a:avLst/>
                          </a:prstGeom>
                        </wps:spPr>
                        <wps:style>
                          <a:lnRef idx="0">
                            <a:scrgbClr r="0" g="0" b="0"/>
                          </a:lnRef>
                          <a:fillRef idx="0">
                            <a:scrgbClr r="0" g="0" b="0"/>
                          </a:fillRef>
                          <a:effectRef idx="0">
                            <a:scrgbClr r="0" g="0" b="0"/>
                          </a:effectRef>
                          <a:fontRef idx="minor">
                            <a:schemeClr val="tx1">
                              <a:hueOff val="0"/>
                              <a:satOff val="0"/>
                              <a:lumOff val="0"/>
                              <a:alphaOff val="0"/>
                            </a:schemeClr>
                          </a:fontRef>
                        </wps:style>
                        <wps:txbx>
                          <w:txbxContent>
                            <w:p w:rsidR="00A305A6" w:rsidRDefault="00A305A6" w:rsidP="00A305A6">
                              <w:pPr>
                                <w:pStyle w:val="NormalWeb"/>
                                <w:spacing w:before="0" w:beforeAutospacing="0" w:after="428" w:afterAutospacing="0" w:line="216" w:lineRule="auto"/>
                                <w:jc w:val="center"/>
                              </w:pPr>
                              <w:r>
                                <w:rPr>
                                  <w:rFonts w:asciiTheme="minorHAnsi" w:hAnsi="Calibri" w:cstheme="minorBidi"/>
                                  <w:color w:val="000000" w:themeColor="text1"/>
                                  <w:kern w:val="24"/>
                                  <w:sz w:val="102"/>
                                  <w:szCs w:val="102"/>
                                  <w14:textFill>
                                    <w14:solidFill>
                                      <w14:schemeClr w14:val="tx1">
                                        <w14:satOff w14:val="0"/>
                                        <w14:lumOff w14:val="0"/>
                                      </w14:schemeClr>
                                    </w14:solidFill>
                                  </w14:textFill>
                                </w:rPr>
                                <w:t>Among hospitalized adult patients, which method for verifying NGT/OGT placement reduce complications.</w:t>
                              </w:r>
                            </w:p>
                          </w:txbxContent>
                        </wps:txbx>
                        <wps:bodyPr spcFirstLastPara="0" vert="horz" wrap="square" lIns="64770" tIns="64770" rIns="64770" bIns="64770" numCol="1" spcCol="1270" anchor="ctr" anchorCtr="0">
                          <a:noAutofit/>
                        </wps:bodyPr>
                      </wps:wsp>
                    </wpg:wgp>
                  </a:graphicData>
                </a:graphic>
              </wp:anchor>
            </w:drawing>
          </mc:Choice>
          <mc:Fallback>
            <w:pict>
              <v:group w14:anchorId="37825B8F" id="Group 47" o:spid="_x0000_s1035" style="position:absolute;margin-left:1821.1pt;margin-top:559.2pt;width:486pt;height:588.45pt;z-index:251670528" coordorigin="120218,40083" coordsize="60277,37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">
                <v:rect id="Rectangle 14" o:spid="_x0000_s1036" style="position:absolute;left:120218;top:40083;width:60278;height:372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fxHMIA&#10;AADbAAAADwAAAGRycy9kb3ducmV2LnhtbERPTWvCQBC9C/6HZYReRDctIiVmIyJIQymIsfU8ZKdJ&#10;aHY2ZrdJ+u9dQehtHu9zku1oGtFT52rLCp6XEQjiwuqaSwWf58PiFYTzyBoby6Tgjxxs0+kkwVjb&#10;gU/U574UIYRdjAoq79tYSldUZNAtbUscuG/bGfQBdqXUHQ4h3DTyJYrW0mDNoaHClvYVFT/5r1Ew&#10;FMf+cv54k8f5JbN8za77/OtdqafZuNuA8DT6f/HDnekwfwX3X8IBMr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N/EcwgAAANsAAAAPAAAAAAAAAAAAAAAAAJgCAABkcnMvZG93&#10;bnJldi54bWxQSwUGAAAAAAQABAD1AAAAhwMAAAAA&#10;" filled="f" stroked="f"/>
                <v:rect id="Rectangle 15" o:spid="_x0000_s1037" style="position:absolute;left:120218;top:40083;width:60278;height:372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4z8QA&#10;AADbAAAADwAAAGRycy9kb3ducmV2LnhtbERPS2vCQBC+F/oflil4KbpRqJXoKlVptadSHwRv0+w0&#10;Cc3Oht1tjP/eFQq9zcf3nNmiM7VoyfnKsoLhIAFBnFtdcaHgsH/tT0D4gKyxtkwKLuRhMb+/m2Gq&#10;7Zk/qd2FQsQQ9ikqKENoUil9XpJBP7ANceS+rTMYInSF1A7PMdzUcpQkY2mw4thQYkOrkvKf3a9R&#10;gPnSH9ZZ1h4/3h+zN+2eN/L0pVTvoXuZggjUhX/xn3ur4/wnuP0SD5Dz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PmeM/EAAAA2wAAAA8AAAAAAAAAAAAAAAAAmAIAAGRycy9k&#10;b3ducmV2LnhtbFBLBQYAAAAABAAEAPUAAACJAwAAAAA=&#10;" filled="f" stroked="f">
                  <v:textbox inset="5.1pt,5.1pt,5.1pt,5.1pt">
                    <w:txbxContent>
                      <w:p w:rsidR="00A305A6" w:rsidRDefault="00A305A6" w:rsidP="00A305A6">
                        <w:pPr>
                          <w:pStyle w:val="NormalWeb"/>
                          <w:spacing w:before="0" w:beforeAutospacing="0" w:after="428" w:afterAutospacing="0" w:line="216" w:lineRule="auto"/>
                          <w:jc w:val="center"/>
                        </w:pPr>
                        <w:r>
                          <w:rPr>
                            <w:rFonts w:asciiTheme="minorHAnsi" w:hAnsi="Calibri" w:cstheme="minorBidi"/>
                            <w:color w:val="000000" w:themeColor="text1"/>
                            <w:kern w:val="24"/>
                            <w:sz w:val="102"/>
                            <w:szCs w:val="102"/>
                            <w14:textFill>
                              <w14:solidFill>
                                <w14:schemeClr w14:val="tx1">
                                  <w14:satOff w14:val="0"/>
                                  <w14:lumOff w14:val="0"/>
                                </w14:schemeClr>
                              </w14:solidFill>
                            </w14:textFill>
                          </w:rPr>
                          <w:t>Among hospitalized adult patients, which method for verifying NGT/OGT placement reduce complications.</w:t>
                        </w:r>
                      </w:p>
                    </w:txbxContent>
                  </v:textbox>
                </v:rect>
              </v:group>
            </w:pict>
          </mc:Fallback>
        </mc:AlternateContent>
      </w:r>
      <w:r>
        <w:rPr>
          <w:noProof/>
        </w:rPr>
        <mc:AlternateContent>
          <mc:Choice Requires="wps">
            <w:drawing>
              <wp:anchor distT="0" distB="0" distL="114300" distR="114300" simplePos="0" relativeHeight="251671552" behindDoc="0" locked="0" layoutInCell="1" allowOverlap="1" wp14:anchorId="429D8CFB" wp14:editId="31364DB4">
                <wp:simplePos x="0" y="0"/>
                <wp:positionH relativeFrom="column">
                  <wp:posOffset>35473640</wp:posOffset>
                </wp:positionH>
                <wp:positionV relativeFrom="paragraph">
                  <wp:posOffset>5969000</wp:posOffset>
                </wp:positionV>
                <wp:extent cx="14025563" cy="923330"/>
                <wp:effectExtent l="0" t="0" r="0" b="0"/>
                <wp:wrapNone/>
                <wp:docPr id="35" name="Rectangle 34"/>
                <wp:cNvGraphicFramePr/>
                <a:graphic xmlns:a="http://schemas.openxmlformats.org/drawingml/2006/main">
                  <a:graphicData uri="http://schemas.microsoft.com/office/word/2010/wordprocessingShape">
                    <wps:wsp>
                      <wps:cNvSpPr/>
                      <wps:spPr>
                        <a:xfrm>
                          <a:off x="0" y="0"/>
                          <a:ext cx="14025563" cy="923330"/>
                        </a:xfrm>
                        <a:prstGeom prst="rect">
                          <a:avLst/>
                        </a:prstGeom>
                      </wps:spPr>
                      <wps:txbx>
                        <w:txbxContent>
                          <w:p w:rsidR="00A305A6" w:rsidRDefault="00A305A6" w:rsidP="00A305A6">
                            <w:pPr>
                              <w:pStyle w:val="NormalWeb"/>
                              <w:spacing w:before="0" w:beforeAutospacing="0" w:after="0" w:afterAutospacing="0"/>
                              <w:textAlignment w:val="baseline"/>
                            </w:pPr>
                            <w:r>
                              <w:rPr>
                                <w:rFonts w:ascii="Arial" w:eastAsia="Times New Roman" w:hAnsi="Arial"/>
                                <w:b/>
                                <w:bCs/>
                                <w:caps/>
                                <w:color w:val="003366"/>
                                <w:kern w:val="36"/>
                                <w:sz w:val="108"/>
                                <w:szCs w:val="108"/>
                              </w:rPr>
                              <w:t>CORTRAK</w:t>
                            </w:r>
                            <w:r>
                              <w:rPr>
                                <w:rFonts w:ascii="inherit" w:eastAsia="Times New Roman" w:hAnsi="inherit" w:cs="Arial"/>
                                <w:b/>
                                <w:bCs/>
                                <w:caps/>
                                <w:color w:val="003366"/>
                                <w:kern w:val="36"/>
                                <w:position w:val="26"/>
                                <w:sz w:val="88"/>
                                <w:szCs w:val="88"/>
                                <w:vertAlign w:val="superscript"/>
                              </w:rPr>
                              <w:t>®</w:t>
                            </w:r>
                            <w:r>
                              <w:rPr>
                                <w:rFonts w:ascii="Arial" w:eastAsia="Times New Roman" w:hAnsi="Arial"/>
                                <w:b/>
                                <w:bCs/>
                                <w:caps/>
                                <w:color w:val="003366"/>
                                <w:kern w:val="36"/>
                                <w:sz w:val="108"/>
                                <w:szCs w:val="108"/>
                              </w:rPr>
                              <w:t> ENTERAL ACCESS SYSTEM</w:t>
                            </w:r>
                          </w:p>
                        </w:txbxContent>
                      </wps:txbx>
                      <wps:bodyPr wrap="square">
                        <a:spAutoFit/>
                      </wps:bodyPr>
                    </wps:wsp>
                  </a:graphicData>
                </a:graphic>
              </wp:anchor>
            </w:drawing>
          </mc:Choice>
          <mc:Fallback>
            <w:pict>
              <v:rect w14:anchorId="429D8CFB" id="Rectangle 34" o:spid="_x0000_s1038" style="position:absolute;margin-left:2793.2pt;margin-top:470pt;width:1104.4pt;height:72.7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" filled="f" stroked="f">
                <v:textbox style="mso-fit-shape-to-text:t">
                  <w:txbxContent>
                    <w:p w:rsidR="00A305A6" w:rsidRDefault="00A305A6" w:rsidP="00A305A6">
                      <w:pPr>
                        <w:pStyle w:val="NormalWeb"/>
                        <w:spacing w:before="0" w:beforeAutospacing="0" w:after="0" w:afterAutospacing="0"/>
                        <w:textAlignment w:val="baseline"/>
                      </w:pPr>
                      <w:r>
                        <w:rPr>
                          <w:rFonts w:ascii="Arial" w:eastAsia="Times New Roman" w:hAnsi="Arial"/>
                          <w:b/>
                          <w:bCs/>
                          <w:caps/>
                          <w:color w:val="003366"/>
                          <w:kern w:val="36"/>
                          <w:sz w:val="108"/>
                          <w:szCs w:val="108"/>
                        </w:rPr>
                        <w:t>CORTRAK</w:t>
                      </w:r>
                      <w:r>
                        <w:rPr>
                          <w:rFonts w:ascii="inherit" w:eastAsia="Times New Roman" w:hAnsi="inherit" w:cs="Arial"/>
                          <w:b/>
                          <w:bCs/>
                          <w:caps/>
                          <w:color w:val="003366"/>
                          <w:kern w:val="36"/>
                          <w:position w:val="26"/>
                          <w:sz w:val="88"/>
                          <w:szCs w:val="88"/>
                          <w:vertAlign w:val="superscript"/>
                        </w:rPr>
                        <w:t>®</w:t>
                      </w:r>
                      <w:r>
                        <w:rPr>
                          <w:rFonts w:ascii="Arial" w:eastAsia="Times New Roman" w:hAnsi="Arial"/>
                          <w:b/>
                          <w:bCs/>
                          <w:caps/>
                          <w:color w:val="003366"/>
                          <w:kern w:val="36"/>
                          <w:sz w:val="108"/>
                          <w:szCs w:val="108"/>
                        </w:rPr>
                        <w:t> ENTERAL ACCESS SYSTEM</w:t>
                      </w:r>
                    </w:p>
                  </w:txbxContent>
                </v:textbox>
              </v:rect>
            </w:pict>
          </mc:Fallback>
        </mc:AlternateContent>
      </w:r>
      <w:r>
        <w:rPr>
          <w:noProof/>
        </w:rPr>
        <w:drawing>
          <wp:anchor distT="0" distB="0" distL="114300" distR="114300" simplePos="0" relativeHeight="251672576" behindDoc="0" locked="0" layoutInCell="1" allowOverlap="1" wp14:anchorId="0B4FC80A" wp14:editId="0EB9CC5A">
            <wp:simplePos x="0" y="0"/>
            <wp:positionH relativeFrom="column">
              <wp:posOffset>13704570</wp:posOffset>
            </wp:positionH>
            <wp:positionV relativeFrom="paragraph">
              <wp:posOffset>7158990</wp:posOffset>
            </wp:positionV>
            <wp:extent cx="4114800" cy="5410480"/>
            <wp:effectExtent l="0" t="0" r="0" b="0"/>
            <wp:wrapNone/>
            <wp:docPr id="1050" name="Picture 26" descr="Image result for CORTRAK® ENTERAL ACCESS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 name="Picture 26" descr="Image result for CORTRAK® ENTERAL ACCESS SYSTEM"/>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b="6889"/>
                    <a:stretch/>
                  </pic:blipFill>
                  <pic:spPr bwMode="auto">
                    <a:xfrm>
                      <a:off x="0" y="0"/>
                      <a:ext cx="4114800" cy="541048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Pr>
          <w:noProof/>
        </w:rPr>
        <mc:AlternateContent>
          <mc:Choice Requires="wps">
            <w:drawing>
              <wp:anchor distT="0" distB="0" distL="114300" distR="114300" simplePos="0" relativeHeight="251673600" behindDoc="0" locked="0" layoutInCell="1" allowOverlap="1" wp14:anchorId="08E14C53" wp14:editId="4639C566">
                <wp:simplePos x="0" y="0"/>
                <wp:positionH relativeFrom="column">
                  <wp:posOffset>34254440</wp:posOffset>
                </wp:positionH>
                <wp:positionV relativeFrom="paragraph">
                  <wp:posOffset>33458150</wp:posOffset>
                </wp:positionV>
                <wp:extent cx="14858999" cy="2677656"/>
                <wp:effectExtent l="0" t="0" r="635" b="8890"/>
                <wp:wrapNone/>
                <wp:docPr id="2" name="Rectangle 1"/>
                <wp:cNvGraphicFramePr/>
                <a:graphic xmlns:a="http://schemas.openxmlformats.org/drawingml/2006/main">
                  <a:graphicData uri="http://schemas.microsoft.com/office/word/2010/wordprocessingShape">
                    <wps:wsp>
                      <wps:cNvSpPr/>
                      <wps:spPr>
                        <a:xfrm>
                          <a:off x="0" y="0"/>
                          <a:ext cx="14858999" cy="2677656"/>
                        </a:xfrm>
                        <a:prstGeom prst="rect">
                          <a:avLst/>
                        </a:prstGeom>
                        <a:solidFill>
                          <a:schemeClr val="accent1"/>
                        </a:solidFill>
                      </wps:spPr>
                      <wps:txbx>
                        <w:txbxContent>
                          <w:p w:rsidR="00A305A6" w:rsidRDefault="00A305A6" w:rsidP="00A305A6">
                            <w:pPr>
                              <w:pStyle w:val="ListParagraph"/>
                              <w:numPr>
                                <w:ilvl w:val="0"/>
                                <w:numId w:val="4"/>
                              </w:numPr>
                              <w:rPr>
                                <w:rFonts w:eastAsia="Times New Roman"/>
                                <w:sz w:val="48"/>
                              </w:rPr>
                            </w:pPr>
                            <w:r>
                              <w:rPr>
                                <w:rFonts w:asciiTheme="minorHAnsi" w:hAnsi="Calibri" w:cstheme="minorBidi"/>
                                <w:b/>
                                <w:bCs/>
                                <w:color w:val="000000" w:themeColor="text1"/>
                                <w:kern w:val="24"/>
                                <w:sz w:val="48"/>
                                <w:szCs w:val="48"/>
                              </w:rPr>
                              <w:t xml:space="preserve">The key to maximizing the safety of NGT/OGT feeding is to rule out feeding into the lung and to minimize feeding into the esophagus. A critical step to prevent inadvertent administration of enteral feeding into the </w:t>
                            </w:r>
                            <w:proofErr w:type="spellStart"/>
                            <w:r>
                              <w:rPr>
                                <w:rFonts w:asciiTheme="minorHAnsi" w:hAnsi="Calibri" w:cstheme="minorBidi"/>
                                <w:b/>
                                <w:bCs/>
                                <w:color w:val="000000" w:themeColor="text1"/>
                                <w:kern w:val="24"/>
                                <w:sz w:val="48"/>
                                <w:szCs w:val="48"/>
                              </w:rPr>
                              <w:t>broncho</w:t>
                            </w:r>
                            <w:proofErr w:type="spellEnd"/>
                            <w:r>
                              <w:rPr>
                                <w:rFonts w:asciiTheme="minorHAnsi" w:hAnsi="Calibri" w:cstheme="minorBidi"/>
                                <w:b/>
                                <w:bCs/>
                                <w:color w:val="000000" w:themeColor="text1"/>
                                <w:kern w:val="24"/>
                                <w:sz w:val="48"/>
                                <w:szCs w:val="48"/>
                              </w:rPr>
                              <w:t>-pulmonary tract is reliable confirmation   of tube position prior to initiate enteral feeding. There is also the potential for soft tissue trauma caused during incorrect NGT/OGT insertion. A study reports 35(18.7%) incidents of pneumothorax among 187 tube placement with an associated increase in mortality (Sparks, DA et al 2011).</w:t>
                            </w:r>
                          </w:p>
                          <w:p w:rsidR="00A305A6" w:rsidRDefault="00A305A6" w:rsidP="00A305A6">
                            <w:pPr>
                              <w:pStyle w:val="ListParagraph"/>
                              <w:numPr>
                                <w:ilvl w:val="0"/>
                                <w:numId w:val="4"/>
                              </w:numPr>
                              <w:rPr>
                                <w:rFonts w:eastAsia="Times New Roman"/>
                                <w:sz w:val="48"/>
                              </w:rPr>
                            </w:pPr>
                            <w:r>
                              <w:rPr>
                                <w:rFonts w:asciiTheme="minorHAnsi" w:hAnsi="Calibri" w:cstheme="minorBidi"/>
                                <w:b/>
                                <w:bCs/>
                                <w:color w:val="000000" w:themeColor="text1"/>
                                <w:kern w:val="24"/>
                                <w:sz w:val="48"/>
                                <w:szCs w:val="48"/>
                              </w:rPr>
                              <w:t xml:space="preserve">Technique to improve the accuracy of NGT/OGT feeding tube insertion such as electromagnetic guidance may prevent both pulmonary tree injury and the consequences of NGT/OGT malposition. </w:t>
                            </w:r>
                          </w:p>
                        </w:txbxContent>
                      </wps:txbx>
                      <wps:bodyPr wrap="square">
                        <a:spAutoFit/>
                      </wps:bodyPr>
                    </wps:wsp>
                  </a:graphicData>
                </a:graphic>
              </wp:anchor>
            </w:drawing>
          </mc:Choice>
          <mc:Fallback>
            <w:pict>
              <v:rect w14:anchorId="08E14C53" id="Rectangle 1" o:spid="_x0000_s1039" style="position:absolute;margin-left:2697.2pt;margin-top:2634.5pt;width:1170pt;height:210.85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" fillcolor="#4f81bd [3204]" stroked="f">
                <v:textbox style="mso-fit-shape-to-text:t">
                  <w:txbxContent>
                    <w:p w:rsidR="00A305A6" w:rsidRDefault="00A305A6" w:rsidP="00A305A6">
                      <w:pPr>
                        <w:pStyle w:val="ListParagraph"/>
                        <w:numPr>
                          <w:ilvl w:val="0"/>
                          <w:numId w:val="4"/>
                        </w:numPr>
                        <w:rPr>
                          <w:rFonts w:eastAsia="Times New Roman"/>
                          <w:sz w:val="48"/>
                        </w:rPr>
                      </w:pPr>
                      <w:r>
                        <w:rPr>
                          <w:rFonts w:asciiTheme="minorHAnsi" w:hAnsi="Calibri" w:cstheme="minorBidi"/>
                          <w:b/>
                          <w:bCs/>
                          <w:color w:val="000000" w:themeColor="text1"/>
                          <w:kern w:val="24"/>
                          <w:sz w:val="48"/>
                          <w:szCs w:val="48"/>
                        </w:rPr>
                        <w:t xml:space="preserve">The key to maximizing the safety of NGT/OGT feeding is to rule out feeding into the lung and to minimize feeding into the esophagus. A critical step to prevent inadvertent administration of enteral feeding into the </w:t>
                      </w:r>
                      <w:proofErr w:type="spellStart"/>
                      <w:r>
                        <w:rPr>
                          <w:rFonts w:asciiTheme="minorHAnsi" w:hAnsi="Calibri" w:cstheme="minorBidi"/>
                          <w:b/>
                          <w:bCs/>
                          <w:color w:val="000000" w:themeColor="text1"/>
                          <w:kern w:val="24"/>
                          <w:sz w:val="48"/>
                          <w:szCs w:val="48"/>
                        </w:rPr>
                        <w:t>broncho</w:t>
                      </w:r>
                      <w:proofErr w:type="spellEnd"/>
                      <w:r>
                        <w:rPr>
                          <w:rFonts w:asciiTheme="minorHAnsi" w:hAnsi="Calibri" w:cstheme="minorBidi"/>
                          <w:b/>
                          <w:bCs/>
                          <w:color w:val="000000" w:themeColor="text1"/>
                          <w:kern w:val="24"/>
                          <w:sz w:val="48"/>
                          <w:szCs w:val="48"/>
                        </w:rPr>
                        <w:t>-pulmonary tract is reliable confirmation   of tube position prior to initiate enteral feeding. There is also the potential for soft tissue trauma caused during incorrect NGT/OGT insertion. A study reports 35(18.7%) incidents of pneumothorax among 187 tube placement with an associated increase in mortality (Sparks, DA et al 2011).</w:t>
                      </w:r>
                    </w:p>
                    <w:p w:rsidR="00A305A6" w:rsidRDefault="00A305A6" w:rsidP="00A305A6">
                      <w:pPr>
                        <w:pStyle w:val="ListParagraph"/>
                        <w:numPr>
                          <w:ilvl w:val="0"/>
                          <w:numId w:val="4"/>
                        </w:numPr>
                        <w:rPr>
                          <w:rFonts w:eastAsia="Times New Roman"/>
                          <w:sz w:val="48"/>
                        </w:rPr>
                      </w:pPr>
                      <w:r>
                        <w:rPr>
                          <w:rFonts w:asciiTheme="minorHAnsi" w:hAnsi="Calibri" w:cstheme="minorBidi"/>
                          <w:b/>
                          <w:bCs/>
                          <w:color w:val="000000" w:themeColor="text1"/>
                          <w:kern w:val="24"/>
                          <w:sz w:val="48"/>
                          <w:szCs w:val="48"/>
                        </w:rPr>
                        <w:t xml:space="preserve">Technique to improve the accuracy of NGT/OGT feeding tube insertion such as electromagnetic guidance may prevent both pulmonary tree injury and the consequences of NGT/OGT malposition. </w:t>
                      </w:r>
                    </w:p>
                  </w:txbxContent>
                </v:textbox>
              </v:rect>
            </w:pict>
          </mc:Fallback>
        </mc:AlternateContent>
      </w:r>
      <w:r>
        <w:rPr>
          <w:noProof/>
        </w:rPr>
        <mc:AlternateContent>
          <mc:Choice Requires="wps">
            <w:drawing>
              <wp:anchor distT="0" distB="0" distL="114300" distR="114300" simplePos="0" relativeHeight="251674624" behindDoc="0" locked="0" layoutInCell="1" allowOverlap="1" wp14:anchorId="3156AB34" wp14:editId="64F2B8DD">
                <wp:simplePos x="0" y="0"/>
                <wp:positionH relativeFrom="column">
                  <wp:posOffset>37607240</wp:posOffset>
                </wp:positionH>
                <wp:positionV relativeFrom="paragraph">
                  <wp:posOffset>5962650</wp:posOffset>
                </wp:positionV>
                <wp:extent cx="8289449" cy="1569660"/>
                <wp:effectExtent l="0" t="0" r="0" b="0"/>
                <wp:wrapNone/>
                <wp:docPr id="3" name="Rectangle 2"/>
                <wp:cNvGraphicFramePr/>
                <a:graphic xmlns:a="http://schemas.openxmlformats.org/drawingml/2006/main">
                  <a:graphicData uri="http://schemas.microsoft.com/office/word/2010/wordprocessingShape">
                    <wps:wsp>
                      <wps:cNvSpPr/>
                      <wps:spPr>
                        <a:xfrm>
                          <a:off x="0" y="0"/>
                          <a:ext cx="8289449" cy="1569660"/>
                        </a:xfrm>
                        <a:prstGeom prst="rect">
                          <a:avLst/>
                        </a:prstGeom>
                      </wps:spPr>
                      <wps:txbx>
                        <w:txbxContent>
                          <w:p w:rsidR="00A305A6" w:rsidRDefault="00A305A6" w:rsidP="00A305A6">
                            <w:pPr>
                              <w:pStyle w:val="NormalWeb"/>
                              <w:spacing w:before="0" w:beforeAutospacing="0" w:after="0" w:afterAutospacing="0"/>
                              <w:textAlignment w:val="baseline"/>
                            </w:pPr>
                            <w:r>
                              <w:rPr>
                                <w:rFonts w:ascii="Arial" w:eastAsia="Times New Roman" w:hAnsi="Arial"/>
                                <w:b/>
                                <w:bCs/>
                                <w:color w:val="1E73BE"/>
                                <w:kern w:val="36"/>
                                <w:sz w:val="72"/>
                                <w:szCs w:val="72"/>
                              </w:rPr>
                              <w:t>Confident Placement without X-Ray</w:t>
                            </w:r>
                            <w:r>
                              <w:rPr>
                                <w:rFonts w:eastAsia="Calibri"/>
                                <w:color w:val="000000" w:themeColor="text1"/>
                                <w:kern w:val="24"/>
                                <w:sz w:val="192"/>
                                <w:szCs w:val="192"/>
                              </w:rPr>
                              <w:t> </w:t>
                            </w:r>
                          </w:p>
                        </w:txbxContent>
                      </wps:txbx>
                      <wps:bodyPr wrap="none">
                        <a:spAutoFit/>
                      </wps:bodyPr>
                    </wps:wsp>
                  </a:graphicData>
                </a:graphic>
              </wp:anchor>
            </w:drawing>
          </mc:Choice>
          <mc:Fallback>
            <w:pict>
              <v:rect w14:anchorId="3156AB34" id="Rectangle 2" o:spid="_x0000_s1040" style="position:absolute;margin-left:2961.2pt;margin-top:469.5pt;width:652.7pt;height:123.6pt;z-index:25167462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" filled="f" stroked="f">
                <v:textbox style="mso-fit-shape-to-text:t">
                  <w:txbxContent>
                    <w:p w:rsidR="00A305A6" w:rsidRDefault="00A305A6" w:rsidP="00A305A6">
                      <w:pPr>
                        <w:pStyle w:val="NormalWeb"/>
                        <w:spacing w:before="0" w:beforeAutospacing="0" w:after="0" w:afterAutospacing="0"/>
                        <w:textAlignment w:val="baseline"/>
                      </w:pPr>
                      <w:r>
                        <w:rPr>
                          <w:rFonts w:ascii="Arial" w:eastAsia="Times New Roman" w:hAnsi="Arial"/>
                          <w:b/>
                          <w:bCs/>
                          <w:color w:val="1E73BE"/>
                          <w:kern w:val="36"/>
                          <w:sz w:val="72"/>
                          <w:szCs w:val="72"/>
                        </w:rPr>
                        <w:t>Confident Placement without X-Ray</w:t>
                      </w:r>
                      <w:r>
                        <w:rPr>
                          <w:rFonts w:eastAsia="Calibri"/>
                          <w:color w:val="000000" w:themeColor="text1"/>
                          <w:kern w:val="24"/>
                          <w:sz w:val="192"/>
                          <w:szCs w:val="192"/>
                        </w:rPr>
                        <w:t> </w:t>
                      </w:r>
                    </w:p>
                  </w:txbxContent>
                </v:textbox>
              </v:rect>
            </w:pict>
          </mc:Fallback>
        </mc:AlternateContent>
      </w:r>
      <w:r>
        <w:rPr>
          <w:noProof/>
        </w:rPr>
        <mc:AlternateContent>
          <mc:Choice Requires="wps">
            <w:drawing>
              <wp:anchor distT="0" distB="0" distL="114300" distR="114300" simplePos="0" relativeHeight="251675648" behindDoc="0" locked="0" layoutInCell="1" allowOverlap="1" wp14:anchorId="4EAAE15B" wp14:editId="0C944F8E">
                <wp:simplePos x="0" y="0"/>
                <wp:positionH relativeFrom="column">
                  <wp:posOffset>34864040</wp:posOffset>
                </wp:positionH>
                <wp:positionV relativeFrom="paragraph">
                  <wp:posOffset>31877000</wp:posOffset>
                </wp:positionV>
                <wp:extent cx="5070619" cy="923330"/>
                <wp:effectExtent l="0" t="0" r="0" b="0"/>
                <wp:wrapNone/>
                <wp:docPr id="1" name="Rectangle 8"/>
                <wp:cNvGraphicFramePr/>
                <a:graphic xmlns:a="http://schemas.openxmlformats.org/drawingml/2006/main">
                  <a:graphicData uri="http://schemas.microsoft.com/office/word/2010/wordprocessingShape">
                    <wps:wsp>
                      <wps:cNvSpPr/>
                      <wps:spPr>
                        <a:xfrm>
                          <a:off x="0" y="0"/>
                          <a:ext cx="5070619" cy="923330"/>
                        </a:xfrm>
                        <a:prstGeom prst="rect">
                          <a:avLst/>
                        </a:prstGeom>
                      </wps:spPr>
                      <wps:txbx>
                        <w:txbxContent>
                          <w:p w:rsidR="00A305A6" w:rsidRDefault="00A305A6" w:rsidP="00A305A6">
                            <w:pPr>
                              <w:pStyle w:val="NormalWeb"/>
                              <w:spacing w:before="0" w:beforeAutospacing="0" w:after="0" w:afterAutospacing="0"/>
                            </w:pPr>
                            <w:r>
                              <w:rPr>
                                <w:rFonts w:ascii="Arial" w:eastAsia="Times New Roman" w:hAnsi="Arial"/>
                                <w:b/>
                                <w:bCs/>
                                <w:caps/>
                                <w:color w:val="003366"/>
                                <w:kern w:val="36"/>
                                <w:sz w:val="108"/>
                                <w:szCs w:val="108"/>
                              </w:rPr>
                              <w:t>CONCLUSION:</w:t>
                            </w:r>
                          </w:p>
                        </w:txbxContent>
                      </wps:txbx>
                      <wps:bodyPr wrap="none">
                        <a:spAutoFit/>
                      </wps:bodyPr>
                    </wps:wsp>
                  </a:graphicData>
                </a:graphic>
              </wp:anchor>
            </w:drawing>
          </mc:Choice>
          <mc:Fallback>
            <w:pict>
              <v:rect w14:anchorId="4EAAE15B" id="Rectangle 8" o:spid="_x0000_s1041" style="position:absolute;margin-left:2745.2pt;margin-top:2510pt;width:399.25pt;height:72.7pt;z-index:25167564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" filled="f" stroked="f">
                <v:textbox style="mso-fit-shape-to-text:t">
                  <w:txbxContent>
                    <w:p w:rsidR="00A305A6" w:rsidRDefault="00A305A6" w:rsidP="00A305A6">
                      <w:pPr>
                        <w:pStyle w:val="NormalWeb"/>
                        <w:spacing w:before="0" w:beforeAutospacing="0" w:after="0" w:afterAutospacing="0"/>
                      </w:pPr>
                      <w:r>
                        <w:rPr>
                          <w:rFonts w:ascii="Arial" w:eastAsia="Times New Roman" w:hAnsi="Arial"/>
                          <w:b/>
                          <w:bCs/>
                          <w:caps/>
                          <w:color w:val="003366"/>
                          <w:kern w:val="36"/>
                          <w:sz w:val="108"/>
                          <w:szCs w:val="108"/>
                        </w:rPr>
                        <w:t>CONCLUSION:</w:t>
                      </w:r>
                    </w:p>
                  </w:txbxContent>
                </v:textbox>
              </v:rect>
            </w:pict>
          </mc:Fallback>
        </mc:AlternateContent>
      </w:r>
    </w:p>
    <w:p w:rsidR="00467762" w:rsidRDefault="00467762" w:rsidP="00823C8F">
      <w:pPr>
        <w:spacing w:line="240" w:lineRule="auto"/>
        <w:rPr>
          <w:rFonts w:ascii="Times New Roman" w:hAnsi="Times New Roman" w:cs="Times New Roman"/>
          <w:sz w:val="24"/>
          <w:szCs w:val="24"/>
        </w:rPr>
      </w:pPr>
    </w:p>
    <w:sectPr w:rsidR="004677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inheri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A037F9"/>
    <w:multiLevelType w:val="hybridMultilevel"/>
    <w:tmpl w:val="2DF67D76"/>
    <w:lvl w:ilvl="0" w:tplc="8F88E856">
      <w:start w:val="1"/>
      <w:numFmt w:val="bullet"/>
      <w:lvlText w:val="•"/>
      <w:lvlJc w:val="left"/>
      <w:pPr>
        <w:tabs>
          <w:tab w:val="num" w:pos="720"/>
        </w:tabs>
        <w:ind w:left="720" w:hanging="360"/>
      </w:pPr>
      <w:rPr>
        <w:rFonts w:ascii="Times New Roman" w:hAnsi="Times New Roman" w:hint="default"/>
      </w:rPr>
    </w:lvl>
    <w:lvl w:ilvl="1" w:tplc="BD5AB8F2">
      <w:start w:val="1"/>
      <w:numFmt w:val="bullet"/>
      <w:lvlText w:val="•"/>
      <w:lvlJc w:val="left"/>
      <w:pPr>
        <w:tabs>
          <w:tab w:val="num" w:pos="1440"/>
        </w:tabs>
        <w:ind w:left="1440" w:hanging="360"/>
      </w:pPr>
      <w:rPr>
        <w:rFonts w:ascii="Times New Roman" w:hAnsi="Times New Roman" w:hint="default"/>
      </w:rPr>
    </w:lvl>
    <w:lvl w:ilvl="2" w:tplc="C2D88422" w:tentative="1">
      <w:start w:val="1"/>
      <w:numFmt w:val="bullet"/>
      <w:lvlText w:val="•"/>
      <w:lvlJc w:val="left"/>
      <w:pPr>
        <w:tabs>
          <w:tab w:val="num" w:pos="2160"/>
        </w:tabs>
        <w:ind w:left="2160" w:hanging="360"/>
      </w:pPr>
      <w:rPr>
        <w:rFonts w:ascii="Times New Roman" w:hAnsi="Times New Roman" w:hint="default"/>
      </w:rPr>
    </w:lvl>
    <w:lvl w:ilvl="3" w:tplc="A3CAF730" w:tentative="1">
      <w:start w:val="1"/>
      <w:numFmt w:val="bullet"/>
      <w:lvlText w:val="•"/>
      <w:lvlJc w:val="left"/>
      <w:pPr>
        <w:tabs>
          <w:tab w:val="num" w:pos="2880"/>
        </w:tabs>
        <w:ind w:left="2880" w:hanging="360"/>
      </w:pPr>
      <w:rPr>
        <w:rFonts w:ascii="Times New Roman" w:hAnsi="Times New Roman" w:hint="default"/>
      </w:rPr>
    </w:lvl>
    <w:lvl w:ilvl="4" w:tplc="AA10B700" w:tentative="1">
      <w:start w:val="1"/>
      <w:numFmt w:val="bullet"/>
      <w:lvlText w:val="•"/>
      <w:lvlJc w:val="left"/>
      <w:pPr>
        <w:tabs>
          <w:tab w:val="num" w:pos="3600"/>
        </w:tabs>
        <w:ind w:left="3600" w:hanging="360"/>
      </w:pPr>
      <w:rPr>
        <w:rFonts w:ascii="Times New Roman" w:hAnsi="Times New Roman" w:hint="default"/>
      </w:rPr>
    </w:lvl>
    <w:lvl w:ilvl="5" w:tplc="1C04099C" w:tentative="1">
      <w:start w:val="1"/>
      <w:numFmt w:val="bullet"/>
      <w:lvlText w:val="•"/>
      <w:lvlJc w:val="left"/>
      <w:pPr>
        <w:tabs>
          <w:tab w:val="num" w:pos="4320"/>
        </w:tabs>
        <w:ind w:left="4320" w:hanging="360"/>
      </w:pPr>
      <w:rPr>
        <w:rFonts w:ascii="Times New Roman" w:hAnsi="Times New Roman" w:hint="default"/>
      </w:rPr>
    </w:lvl>
    <w:lvl w:ilvl="6" w:tplc="E940E4F6" w:tentative="1">
      <w:start w:val="1"/>
      <w:numFmt w:val="bullet"/>
      <w:lvlText w:val="•"/>
      <w:lvlJc w:val="left"/>
      <w:pPr>
        <w:tabs>
          <w:tab w:val="num" w:pos="5040"/>
        </w:tabs>
        <w:ind w:left="5040" w:hanging="360"/>
      </w:pPr>
      <w:rPr>
        <w:rFonts w:ascii="Times New Roman" w:hAnsi="Times New Roman" w:hint="default"/>
      </w:rPr>
    </w:lvl>
    <w:lvl w:ilvl="7" w:tplc="5FBC1016" w:tentative="1">
      <w:start w:val="1"/>
      <w:numFmt w:val="bullet"/>
      <w:lvlText w:val="•"/>
      <w:lvlJc w:val="left"/>
      <w:pPr>
        <w:tabs>
          <w:tab w:val="num" w:pos="5760"/>
        </w:tabs>
        <w:ind w:left="5760" w:hanging="360"/>
      </w:pPr>
      <w:rPr>
        <w:rFonts w:ascii="Times New Roman" w:hAnsi="Times New Roman" w:hint="default"/>
      </w:rPr>
    </w:lvl>
    <w:lvl w:ilvl="8" w:tplc="5FFA5360"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2DAA149F"/>
    <w:multiLevelType w:val="hybridMultilevel"/>
    <w:tmpl w:val="B1EA0010"/>
    <w:lvl w:ilvl="0" w:tplc="BF989A62">
      <w:start w:val="1"/>
      <w:numFmt w:val="bullet"/>
      <w:lvlText w:val="•"/>
      <w:lvlJc w:val="left"/>
      <w:pPr>
        <w:tabs>
          <w:tab w:val="num" w:pos="720"/>
        </w:tabs>
        <w:ind w:left="720" w:hanging="360"/>
      </w:pPr>
      <w:rPr>
        <w:rFonts w:ascii="Times New Roman" w:hAnsi="Times New Roman" w:hint="default"/>
      </w:rPr>
    </w:lvl>
    <w:lvl w:ilvl="1" w:tplc="291A3926">
      <w:start w:val="1"/>
      <w:numFmt w:val="bullet"/>
      <w:lvlText w:val="•"/>
      <w:lvlJc w:val="left"/>
      <w:pPr>
        <w:tabs>
          <w:tab w:val="num" w:pos="1440"/>
        </w:tabs>
        <w:ind w:left="1440" w:hanging="360"/>
      </w:pPr>
      <w:rPr>
        <w:rFonts w:ascii="Times New Roman" w:hAnsi="Times New Roman" w:hint="default"/>
      </w:rPr>
    </w:lvl>
    <w:lvl w:ilvl="2" w:tplc="C8946F28" w:tentative="1">
      <w:start w:val="1"/>
      <w:numFmt w:val="bullet"/>
      <w:lvlText w:val="•"/>
      <w:lvlJc w:val="left"/>
      <w:pPr>
        <w:tabs>
          <w:tab w:val="num" w:pos="2160"/>
        </w:tabs>
        <w:ind w:left="2160" w:hanging="360"/>
      </w:pPr>
      <w:rPr>
        <w:rFonts w:ascii="Times New Roman" w:hAnsi="Times New Roman" w:hint="default"/>
      </w:rPr>
    </w:lvl>
    <w:lvl w:ilvl="3" w:tplc="E2F437BE" w:tentative="1">
      <w:start w:val="1"/>
      <w:numFmt w:val="bullet"/>
      <w:lvlText w:val="•"/>
      <w:lvlJc w:val="left"/>
      <w:pPr>
        <w:tabs>
          <w:tab w:val="num" w:pos="2880"/>
        </w:tabs>
        <w:ind w:left="2880" w:hanging="360"/>
      </w:pPr>
      <w:rPr>
        <w:rFonts w:ascii="Times New Roman" w:hAnsi="Times New Roman" w:hint="default"/>
      </w:rPr>
    </w:lvl>
    <w:lvl w:ilvl="4" w:tplc="C69E3454" w:tentative="1">
      <w:start w:val="1"/>
      <w:numFmt w:val="bullet"/>
      <w:lvlText w:val="•"/>
      <w:lvlJc w:val="left"/>
      <w:pPr>
        <w:tabs>
          <w:tab w:val="num" w:pos="3600"/>
        </w:tabs>
        <w:ind w:left="3600" w:hanging="360"/>
      </w:pPr>
      <w:rPr>
        <w:rFonts w:ascii="Times New Roman" w:hAnsi="Times New Roman" w:hint="default"/>
      </w:rPr>
    </w:lvl>
    <w:lvl w:ilvl="5" w:tplc="0B80A502" w:tentative="1">
      <w:start w:val="1"/>
      <w:numFmt w:val="bullet"/>
      <w:lvlText w:val="•"/>
      <w:lvlJc w:val="left"/>
      <w:pPr>
        <w:tabs>
          <w:tab w:val="num" w:pos="4320"/>
        </w:tabs>
        <w:ind w:left="4320" w:hanging="360"/>
      </w:pPr>
      <w:rPr>
        <w:rFonts w:ascii="Times New Roman" w:hAnsi="Times New Roman" w:hint="default"/>
      </w:rPr>
    </w:lvl>
    <w:lvl w:ilvl="6" w:tplc="B7F23BCC" w:tentative="1">
      <w:start w:val="1"/>
      <w:numFmt w:val="bullet"/>
      <w:lvlText w:val="•"/>
      <w:lvlJc w:val="left"/>
      <w:pPr>
        <w:tabs>
          <w:tab w:val="num" w:pos="5040"/>
        </w:tabs>
        <w:ind w:left="5040" w:hanging="360"/>
      </w:pPr>
      <w:rPr>
        <w:rFonts w:ascii="Times New Roman" w:hAnsi="Times New Roman" w:hint="default"/>
      </w:rPr>
    </w:lvl>
    <w:lvl w:ilvl="7" w:tplc="8918D730" w:tentative="1">
      <w:start w:val="1"/>
      <w:numFmt w:val="bullet"/>
      <w:lvlText w:val="•"/>
      <w:lvlJc w:val="left"/>
      <w:pPr>
        <w:tabs>
          <w:tab w:val="num" w:pos="5760"/>
        </w:tabs>
        <w:ind w:left="5760" w:hanging="360"/>
      </w:pPr>
      <w:rPr>
        <w:rFonts w:ascii="Times New Roman" w:hAnsi="Times New Roman" w:hint="default"/>
      </w:rPr>
    </w:lvl>
    <w:lvl w:ilvl="8" w:tplc="04384CD0"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3D3434C7"/>
    <w:multiLevelType w:val="hybridMultilevel"/>
    <w:tmpl w:val="E6223138"/>
    <w:lvl w:ilvl="0" w:tplc="A5D8CB64">
      <w:start w:val="1"/>
      <w:numFmt w:val="bullet"/>
      <w:lvlText w:val="•"/>
      <w:lvlJc w:val="left"/>
      <w:pPr>
        <w:tabs>
          <w:tab w:val="num" w:pos="720"/>
        </w:tabs>
        <w:ind w:left="720" w:hanging="360"/>
      </w:pPr>
      <w:rPr>
        <w:rFonts w:ascii="Arial" w:hAnsi="Arial" w:hint="default"/>
      </w:rPr>
    </w:lvl>
    <w:lvl w:ilvl="1" w:tplc="79066EAC" w:tentative="1">
      <w:start w:val="1"/>
      <w:numFmt w:val="bullet"/>
      <w:lvlText w:val="•"/>
      <w:lvlJc w:val="left"/>
      <w:pPr>
        <w:tabs>
          <w:tab w:val="num" w:pos="1440"/>
        </w:tabs>
        <w:ind w:left="1440" w:hanging="360"/>
      </w:pPr>
      <w:rPr>
        <w:rFonts w:ascii="Arial" w:hAnsi="Arial" w:hint="default"/>
      </w:rPr>
    </w:lvl>
    <w:lvl w:ilvl="2" w:tplc="49D4B7E8" w:tentative="1">
      <w:start w:val="1"/>
      <w:numFmt w:val="bullet"/>
      <w:lvlText w:val="•"/>
      <w:lvlJc w:val="left"/>
      <w:pPr>
        <w:tabs>
          <w:tab w:val="num" w:pos="2160"/>
        </w:tabs>
        <w:ind w:left="2160" w:hanging="360"/>
      </w:pPr>
      <w:rPr>
        <w:rFonts w:ascii="Arial" w:hAnsi="Arial" w:hint="default"/>
      </w:rPr>
    </w:lvl>
    <w:lvl w:ilvl="3" w:tplc="BBD0A2D0" w:tentative="1">
      <w:start w:val="1"/>
      <w:numFmt w:val="bullet"/>
      <w:lvlText w:val="•"/>
      <w:lvlJc w:val="left"/>
      <w:pPr>
        <w:tabs>
          <w:tab w:val="num" w:pos="2880"/>
        </w:tabs>
        <w:ind w:left="2880" w:hanging="360"/>
      </w:pPr>
      <w:rPr>
        <w:rFonts w:ascii="Arial" w:hAnsi="Arial" w:hint="default"/>
      </w:rPr>
    </w:lvl>
    <w:lvl w:ilvl="4" w:tplc="A85EC39E" w:tentative="1">
      <w:start w:val="1"/>
      <w:numFmt w:val="bullet"/>
      <w:lvlText w:val="•"/>
      <w:lvlJc w:val="left"/>
      <w:pPr>
        <w:tabs>
          <w:tab w:val="num" w:pos="3600"/>
        </w:tabs>
        <w:ind w:left="3600" w:hanging="360"/>
      </w:pPr>
      <w:rPr>
        <w:rFonts w:ascii="Arial" w:hAnsi="Arial" w:hint="default"/>
      </w:rPr>
    </w:lvl>
    <w:lvl w:ilvl="5" w:tplc="FC5E6D4A" w:tentative="1">
      <w:start w:val="1"/>
      <w:numFmt w:val="bullet"/>
      <w:lvlText w:val="•"/>
      <w:lvlJc w:val="left"/>
      <w:pPr>
        <w:tabs>
          <w:tab w:val="num" w:pos="4320"/>
        </w:tabs>
        <w:ind w:left="4320" w:hanging="360"/>
      </w:pPr>
      <w:rPr>
        <w:rFonts w:ascii="Arial" w:hAnsi="Arial" w:hint="default"/>
      </w:rPr>
    </w:lvl>
    <w:lvl w:ilvl="6" w:tplc="50E4BF3E" w:tentative="1">
      <w:start w:val="1"/>
      <w:numFmt w:val="bullet"/>
      <w:lvlText w:val="•"/>
      <w:lvlJc w:val="left"/>
      <w:pPr>
        <w:tabs>
          <w:tab w:val="num" w:pos="5040"/>
        </w:tabs>
        <w:ind w:left="5040" w:hanging="360"/>
      </w:pPr>
      <w:rPr>
        <w:rFonts w:ascii="Arial" w:hAnsi="Arial" w:hint="default"/>
      </w:rPr>
    </w:lvl>
    <w:lvl w:ilvl="7" w:tplc="2364307E" w:tentative="1">
      <w:start w:val="1"/>
      <w:numFmt w:val="bullet"/>
      <w:lvlText w:val="•"/>
      <w:lvlJc w:val="left"/>
      <w:pPr>
        <w:tabs>
          <w:tab w:val="num" w:pos="5760"/>
        </w:tabs>
        <w:ind w:left="5760" w:hanging="360"/>
      </w:pPr>
      <w:rPr>
        <w:rFonts w:ascii="Arial" w:hAnsi="Arial" w:hint="default"/>
      </w:rPr>
    </w:lvl>
    <w:lvl w:ilvl="8" w:tplc="BCD611E4"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6617529A"/>
    <w:multiLevelType w:val="hybridMultilevel"/>
    <w:tmpl w:val="3690B59E"/>
    <w:lvl w:ilvl="0" w:tplc="262A6ED4">
      <w:start w:val="1"/>
      <w:numFmt w:val="bullet"/>
      <w:lvlText w:val="•"/>
      <w:lvlJc w:val="left"/>
      <w:pPr>
        <w:tabs>
          <w:tab w:val="num" w:pos="720"/>
        </w:tabs>
        <w:ind w:left="720" w:hanging="360"/>
      </w:pPr>
      <w:rPr>
        <w:rFonts w:ascii="Times New Roman" w:hAnsi="Times New Roman" w:hint="default"/>
      </w:rPr>
    </w:lvl>
    <w:lvl w:ilvl="1" w:tplc="4C12D1F0">
      <w:start w:val="1"/>
      <w:numFmt w:val="bullet"/>
      <w:lvlText w:val="•"/>
      <w:lvlJc w:val="left"/>
      <w:pPr>
        <w:tabs>
          <w:tab w:val="num" w:pos="1440"/>
        </w:tabs>
        <w:ind w:left="1440" w:hanging="360"/>
      </w:pPr>
      <w:rPr>
        <w:rFonts w:ascii="Times New Roman" w:hAnsi="Times New Roman" w:hint="default"/>
      </w:rPr>
    </w:lvl>
    <w:lvl w:ilvl="2" w:tplc="773A70C4" w:tentative="1">
      <w:start w:val="1"/>
      <w:numFmt w:val="bullet"/>
      <w:lvlText w:val="•"/>
      <w:lvlJc w:val="left"/>
      <w:pPr>
        <w:tabs>
          <w:tab w:val="num" w:pos="2160"/>
        </w:tabs>
        <w:ind w:left="2160" w:hanging="360"/>
      </w:pPr>
      <w:rPr>
        <w:rFonts w:ascii="Times New Roman" w:hAnsi="Times New Roman" w:hint="default"/>
      </w:rPr>
    </w:lvl>
    <w:lvl w:ilvl="3" w:tplc="6DEE9B02" w:tentative="1">
      <w:start w:val="1"/>
      <w:numFmt w:val="bullet"/>
      <w:lvlText w:val="•"/>
      <w:lvlJc w:val="left"/>
      <w:pPr>
        <w:tabs>
          <w:tab w:val="num" w:pos="2880"/>
        </w:tabs>
        <w:ind w:left="2880" w:hanging="360"/>
      </w:pPr>
      <w:rPr>
        <w:rFonts w:ascii="Times New Roman" w:hAnsi="Times New Roman" w:hint="default"/>
      </w:rPr>
    </w:lvl>
    <w:lvl w:ilvl="4" w:tplc="497C97E2" w:tentative="1">
      <w:start w:val="1"/>
      <w:numFmt w:val="bullet"/>
      <w:lvlText w:val="•"/>
      <w:lvlJc w:val="left"/>
      <w:pPr>
        <w:tabs>
          <w:tab w:val="num" w:pos="3600"/>
        </w:tabs>
        <w:ind w:left="3600" w:hanging="360"/>
      </w:pPr>
      <w:rPr>
        <w:rFonts w:ascii="Times New Roman" w:hAnsi="Times New Roman" w:hint="default"/>
      </w:rPr>
    </w:lvl>
    <w:lvl w:ilvl="5" w:tplc="5162A46A" w:tentative="1">
      <w:start w:val="1"/>
      <w:numFmt w:val="bullet"/>
      <w:lvlText w:val="•"/>
      <w:lvlJc w:val="left"/>
      <w:pPr>
        <w:tabs>
          <w:tab w:val="num" w:pos="4320"/>
        </w:tabs>
        <w:ind w:left="4320" w:hanging="360"/>
      </w:pPr>
      <w:rPr>
        <w:rFonts w:ascii="Times New Roman" w:hAnsi="Times New Roman" w:hint="default"/>
      </w:rPr>
    </w:lvl>
    <w:lvl w:ilvl="6" w:tplc="24CAA0B0" w:tentative="1">
      <w:start w:val="1"/>
      <w:numFmt w:val="bullet"/>
      <w:lvlText w:val="•"/>
      <w:lvlJc w:val="left"/>
      <w:pPr>
        <w:tabs>
          <w:tab w:val="num" w:pos="5040"/>
        </w:tabs>
        <w:ind w:left="5040" w:hanging="360"/>
      </w:pPr>
      <w:rPr>
        <w:rFonts w:ascii="Times New Roman" w:hAnsi="Times New Roman" w:hint="default"/>
      </w:rPr>
    </w:lvl>
    <w:lvl w:ilvl="7" w:tplc="1EBED78A" w:tentative="1">
      <w:start w:val="1"/>
      <w:numFmt w:val="bullet"/>
      <w:lvlText w:val="•"/>
      <w:lvlJc w:val="left"/>
      <w:pPr>
        <w:tabs>
          <w:tab w:val="num" w:pos="5760"/>
        </w:tabs>
        <w:ind w:left="5760" w:hanging="360"/>
      </w:pPr>
      <w:rPr>
        <w:rFonts w:ascii="Times New Roman" w:hAnsi="Times New Roman" w:hint="default"/>
      </w:rPr>
    </w:lvl>
    <w:lvl w:ilvl="8" w:tplc="5BA419BA" w:tentative="1">
      <w:start w:val="1"/>
      <w:numFmt w:val="bullet"/>
      <w:lvlText w:val="•"/>
      <w:lvlJc w:val="left"/>
      <w:pPr>
        <w:tabs>
          <w:tab w:val="num" w:pos="6480"/>
        </w:tabs>
        <w:ind w:left="6480" w:hanging="360"/>
      </w:pPr>
      <w:rPr>
        <w:rFonts w:ascii="Times New Roman" w:hAnsi="Times New Roman"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01B7"/>
    <w:rsid w:val="00033AC2"/>
    <w:rsid w:val="00054847"/>
    <w:rsid w:val="000667C9"/>
    <w:rsid w:val="000A3B14"/>
    <w:rsid w:val="000B7C58"/>
    <w:rsid w:val="000C4754"/>
    <w:rsid w:val="001B3A09"/>
    <w:rsid w:val="001B7336"/>
    <w:rsid w:val="001F718F"/>
    <w:rsid w:val="0024050A"/>
    <w:rsid w:val="002C12B2"/>
    <w:rsid w:val="00323361"/>
    <w:rsid w:val="00351E63"/>
    <w:rsid w:val="0036512C"/>
    <w:rsid w:val="003A094B"/>
    <w:rsid w:val="003C368F"/>
    <w:rsid w:val="003C5E39"/>
    <w:rsid w:val="003D271A"/>
    <w:rsid w:val="0042046C"/>
    <w:rsid w:val="00467762"/>
    <w:rsid w:val="00553FC0"/>
    <w:rsid w:val="00581D36"/>
    <w:rsid w:val="005B065E"/>
    <w:rsid w:val="005C617B"/>
    <w:rsid w:val="005F1068"/>
    <w:rsid w:val="005F322D"/>
    <w:rsid w:val="00660DDB"/>
    <w:rsid w:val="006B42E3"/>
    <w:rsid w:val="00795718"/>
    <w:rsid w:val="007B01B7"/>
    <w:rsid w:val="008142F3"/>
    <w:rsid w:val="00823C8F"/>
    <w:rsid w:val="00877EB8"/>
    <w:rsid w:val="00897CB9"/>
    <w:rsid w:val="008A47F2"/>
    <w:rsid w:val="00910080"/>
    <w:rsid w:val="00922578"/>
    <w:rsid w:val="009A6E62"/>
    <w:rsid w:val="009F1E31"/>
    <w:rsid w:val="00A305A6"/>
    <w:rsid w:val="00B50792"/>
    <w:rsid w:val="00B61499"/>
    <w:rsid w:val="00C3527E"/>
    <w:rsid w:val="00C566B1"/>
    <w:rsid w:val="00CC0169"/>
    <w:rsid w:val="00CF7414"/>
    <w:rsid w:val="00D461D7"/>
    <w:rsid w:val="00D752EB"/>
    <w:rsid w:val="00D907A4"/>
    <w:rsid w:val="00D91E70"/>
    <w:rsid w:val="00E06A47"/>
    <w:rsid w:val="00E10E76"/>
    <w:rsid w:val="00F91C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71B070-2C9D-427F-AFD6-B5F19ADA7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Emphasis">
    <w:name w:val="Intense Emphasis"/>
    <w:basedOn w:val="DefaultParagraphFont"/>
    <w:uiPriority w:val="21"/>
    <w:qFormat/>
    <w:rsid w:val="001F718F"/>
    <w:rPr>
      <w:i/>
      <w:iCs/>
      <w:color w:val="4F81BD" w:themeColor="accent1"/>
    </w:rPr>
  </w:style>
  <w:style w:type="character" w:styleId="Hyperlink">
    <w:name w:val="Hyperlink"/>
    <w:basedOn w:val="DefaultParagraphFont"/>
    <w:uiPriority w:val="99"/>
    <w:unhideWhenUsed/>
    <w:rsid w:val="00467762"/>
    <w:rPr>
      <w:color w:val="0000FF" w:themeColor="hyperlink"/>
      <w:u w:val="single"/>
    </w:rPr>
  </w:style>
  <w:style w:type="paragraph" w:styleId="NormalWeb">
    <w:name w:val="Normal (Web)"/>
    <w:basedOn w:val="Normal"/>
    <w:uiPriority w:val="99"/>
    <w:unhideWhenUsed/>
    <w:rsid w:val="00A305A6"/>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A305A6"/>
    <w:pPr>
      <w:spacing w:after="0" w:line="240" w:lineRule="auto"/>
      <w:ind w:left="720"/>
      <w:contextualSpacing/>
    </w:pPr>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0A3B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3B1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stinvintilescu@yahoo.com"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5FAAEE-E29E-47B2-A732-603820CEFB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522</TotalTime>
  <Pages>4</Pages>
  <Words>1278</Words>
  <Characters>7289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38</cp:revision>
  <cp:lastPrinted>2016-11-16T17:28:00Z</cp:lastPrinted>
  <dcterms:created xsi:type="dcterms:W3CDTF">2016-06-13T03:54:00Z</dcterms:created>
  <dcterms:modified xsi:type="dcterms:W3CDTF">2016-11-16T18:05:00Z</dcterms:modified>
</cp:coreProperties>
</file>