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8E" w:rsidRDefault="00CD608E" w:rsidP="00CD608E">
      <w:pPr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28"/>
          <w:szCs w:val="28"/>
        </w:rPr>
        <w:t>The role of temporal lobe atrophy in pre- senile dementia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 xml:space="preserve"> Samia Othman Massaad. Mohammed </w:t>
      </w:r>
      <w:proofErr w:type="spellStart"/>
      <w:r>
        <w:rPr>
          <w:color w:val="000000"/>
          <w:sz w:val="18"/>
          <w:szCs w:val="18"/>
        </w:rPr>
        <w:t>Ahamed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Abuelnour</w:t>
      </w:r>
      <w:proofErr w:type="spellEnd"/>
    </w:p>
    <w:p w:rsidR="00CD608E" w:rsidRPr="002E6ABB" w:rsidRDefault="002E6ABB" w:rsidP="002E6ABB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Department of Anatomy -Faculty of Medicine &amp; health sciences- Gadarif University</w:t>
      </w:r>
    </w:p>
    <w:p w:rsidR="00CD608E" w:rsidRDefault="00CD608E" w:rsidP="00CD608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Background and objective: </w:t>
      </w:r>
      <w:r>
        <w:rPr>
          <w:color w:val="000000"/>
          <w:sz w:val="28"/>
          <w:szCs w:val="28"/>
        </w:rPr>
        <w:t xml:space="preserve">Dementia is </w:t>
      </w:r>
      <w:r w:rsidRPr="00FD5FC0">
        <w:rPr>
          <w:color w:val="000000"/>
          <w:sz w:val="28"/>
          <w:szCs w:val="28"/>
        </w:rPr>
        <w:t>a collection of signs and symptoms such as memory impairment, difficulties of communication and planning, changes in mood and behaviour, and the gradual loss of control of physical functions</w:t>
      </w:r>
      <w:r>
        <w:rPr>
          <w:color w:val="000000"/>
          <w:sz w:val="28"/>
          <w:szCs w:val="28"/>
        </w:rPr>
        <w:t xml:space="preserve"> due to</w:t>
      </w:r>
      <w:r w:rsidRPr="00FD5FC0">
        <w:rPr>
          <w:rFonts w:ascii="Frutiger-Roman" w:hAnsi="Frutiger-Roman"/>
          <w:color w:val="231F20"/>
          <w:sz w:val="20"/>
          <w:szCs w:val="20"/>
        </w:rPr>
        <w:t xml:space="preserve"> </w:t>
      </w:r>
      <w:r w:rsidRPr="00FD5FC0">
        <w:rPr>
          <w:color w:val="000000"/>
          <w:sz w:val="28"/>
          <w:szCs w:val="28"/>
        </w:rPr>
        <w:t xml:space="preserve">damage </w:t>
      </w:r>
      <w:r>
        <w:rPr>
          <w:color w:val="000000"/>
          <w:sz w:val="28"/>
          <w:szCs w:val="28"/>
        </w:rPr>
        <w:t xml:space="preserve">of </w:t>
      </w:r>
      <w:r w:rsidRPr="00FD5FC0">
        <w:rPr>
          <w:color w:val="000000"/>
          <w:sz w:val="28"/>
          <w:szCs w:val="28"/>
        </w:rPr>
        <w:t>the brain.</w:t>
      </w:r>
      <w:r>
        <w:rPr>
          <w:color w:val="000000"/>
          <w:sz w:val="28"/>
          <w:szCs w:val="28"/>
        </w:rPr>
        <w:t xml:space="preserve"> Is greater prevalence in older subjects, but many cases can begin in an early age, affecting people in a productive phase of their lives. The aim of this study to investigate the association of the temporal lobe atrophy in causing early onset dementia in Sudanese patients</w:t>
      </w:r>
    </w:p>
    <w:p w:rsidR="00CD608E" w:rsidRDefault="00CD608E" w:rsidP="00393A3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</w:rPr>
        <w:t xml:space="preserve">Material &amp; Methods: </w:t>
      </w:r>
      <w:r>
        <w:rPr>
          <w:color w:val="000000"/>
          <w:sz w:val="28"/>
          <w:szCs w:val="28"/>
        </w:rPr>
        <w:t>Magnetic resonance imaging (MRI) method was used to detect atrophy of temporal structures in thirty two patients</w:t>
      </w:r>
      <w:r w:rsidR="00393A39">
        <w:rPr>
          <w:color w:val="000000"/>
          <w:sz w:val="28"/>
          <w:szCs w:val="28"/>
        </w:rPr>
        <w:t xml:space="preserve"> diagnosed with dementia</w:t>
      </w:r>
      <w:r w:rsidR="002E6ABB">
        <w:rPr>
          <w:color w:val="000000"/>
          <w:sz w:val="28"/>
          <w:szCs w:val="28"/>
        </w:rPr>
        <w:t xml:space="preserve"> and </w:t>
      </w:r>
      <w:r w:rsidR="002E6ABB" w:rsidRPr="002E6ABB">
        <w:rPr>
          <w:color w:val="000000"/>
          <w:sz w:val="28"/>
          <w:szCs w:val="28"/>
        </w:rPr>
        <w:t xml:space="preserve">Image-Pro </w:t>
      </w:r>
      <w:proofErr w:type="gramStart"/>
      <w:r w:rsidR="002E6ABB" w:rsidRPr="002E6ABB">
        <w:rPr>
          <w:color w:val="000000"/>
          <w:sz w:val="28"/>
          <w:szCs w:val="28"/>
        </w:rPr>
        <w:t>Plus</w:t>
      </w:r>
      <w:proofErr w:type="gramEnd"/>
      <w:r w:rsidR="002E6ABB" w:rsidRPr="002E6ABB">
        <w:rPr>
          <w:color w:val="000000"/>
          <w:sz w:val="28"/>
          <w:szCs w:val="28"/>
        </w:rPr>
        <w:t xml:space="preserve"> 6.0</w:t>
      </w:r>
      <w:r w:rsidR="002E6ABB">
        <w:rPr>
          <w:color w:val="000000"/>
          <w:sz w:val="28"/>
          <w:szCs w:val="28"/>
        </w:rPr>
        <w:t xml:space="preserve"> to measures the volume.</w:t>
      </w:r>
      <w:r w:rsidR="00393A39">
        <w:rPr>
          <w:color w:val="000000"/>
          <w:sz w:val="28"/>
          <w:szCs w:val="28"/>
        </w:rPr>
        <w:t xml:space="preserve"> </w:t>
      </w:r>
      <w:r w:rsidR="002E6ABB">
        <w:rPr>
          <w:color w:val="000000"/>
          <w:sz w:val="28"/>
          <w:szCs w:val="28"/>
        </w:rPr>
        <w:t xml:space="preserve">Age of </w:t>
      </w:r>
      <w:r w:rsidR="00393A39">
        <w:rPr>
          <w:color w:val="000000"/>
          <w:sz w:val="28"/>
          <w:szCs w:val="28"/>
        </w:rPr>
        <w:t>patients range between</w:t>
      </w:r>
      <w:r w:rsidR="002E6ABB">
        <w:rPr>
          <w:color w:val="000000"/>
          <w:sz w:val="28"/>
          <w:szCs w:val="28"/>
        </w:rPr>
        <w:t xml:space="preserve"> 52</w:t>
      </w:r>
      <w:r w:rsidR="00393A39">
        <w:rPr>
          <w:color w:val="000000"/>
          <w:sz w:val="28"/>
          <w:szCs w:val="28"/>
        </w:rPr>
        <w:t xml:space="preserve"> to </w:t>
      </w:r>
      <w:r w:rsidR="002E6ABB">
        <w:rPr>
          <w:color w:val="000000"/>
          <w:sz w:val="28"/>
          <w:szCs w:val="28"/>
        </w:rPr>
        <w:t>65 years</w:t>
      </w:r>
      <w:r>
        <w:rPr>
          <w:color w:val="000000"/>
          <w:sz w:val="28"/>
          <w:szCs w:val="28"/>
        </w:rPr>
        <w:t>, and compared with 32 healthy control subjects of the same age.</w:t>
      </w:r>
      <w:r w:rsidR="00393A39">
        <w:rPr>
          <w:color w:val="000000"/>
          <w:sz w:val="28"/>
          <w:szCs w:val="28"/>
        </w:rPr>
        <w:t xml:space="preserve"> </w:t>
      </w:r>
    </w:p>
    <w:p w:rsidR="00CD608E" w:rsidRDefault="00CD608E" w:rsidP="00CD608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Results: </w:t>
      </w:r>
      <w:r>
        <w:rPr>
          <w:color w:val="000000"/>
          <w:sz w:val="28"/>
          <w:szCs w:val="28"/>
        </w:rPr>
        <w:t xml:space="preserve">A total of thirty tow files of subjects diagnosed with presenile dementia were examined,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FB78CF">
        <w:rPr>
          <w:rFonts w:ascii="Times New Roman" w:hAnsi="Times New Roman" w:cs="Times New Roman"/>
          <w:sz w:val="24"/>
          <w:szCs w:val="24"/>
        </w:rPr>
        <w:t>(6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78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B78CF">
        <w:rPr>
          <w:rFonts w:ascii="Times New Roman" w:hAnsi="Times New Roman" w:cs="Times New Roman"/>
          <w:sz w:val="24"/>
          <w:szCs w:val="24"/>
        </w:rPr>
        <w:t xml:space="preserve">%) </w:t>
      </w:r>
      <w:r w:rsidRPr="009C3173">
        <w:rPr>
          <w:color w:val="000000"/>
          <w:sz w:val="28"/>
          <w:szCs w:val="28"/>
        </w:rPr>
        <w:t>of them were males and 11(34.4%) were females.</w:t>
      </w:r>
      <w:r>
        <w:rPr>
          <w:color w:val="000000"/>
          <w:sz w:val="28"/>
          <w:szCs w:val="28"/>
        </w:rPr>
        <w:t xml:space="preserve"> the mean age of study subject was 60.15 year. A positive family history was reported in tow patients (6.3%).</w:t>
      </w:r>
    </w:p>
    <w:p w:rsidR="00CD608E" w:rsidRDefault="00CD608E" w:rsidP="002B3F39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The imaging confirmed the expected temporal lobe atrophy in pre- senile dementia relative to controls, In 12 patients (38%), MRI show bilateral atrophy of the hippocampi. The volume of the hippocampus on the right side of the patients was range between 9.39 – 10.23 c</w:t>
      </w:r>
      <w:r w:rsidR="002B3F39">
        <w:rPr>
          <w:color w:val="000000"/>
          <w:sz w:val="28"/>
          <w:szCs w:val="28"/>
        </w:rPr>
        <w:t>m</w:t>
      </w:r>
      <w:r>
        <w:rPr>
          <w:color w:val="000000"/>
          <w:sz w:val="28"/>
          <w:szCs w:val="28"/>
        </w:rPr>
        <w:t xml:space="preserve"> while on the left side of the patients the volume range 8.94 - 9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>compare to the controls that recorded 13.55-15.36</w:t>
      </w:r>
      <w:r w:rsidR="002B3F39">
        <w:rPr>
          <w:color w:val="000000"/>
          <w:sz w:val="28"/>
          <w:szCs w:val="28"/>
        </w:rPr>
        <w:t xml:space="preserve">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 xml:space="preserve">and 12- 15.20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>on the right and left side respectively .</w:t>
      </w:r>
      <w:r w:rsidRPr="000547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Eight patients (25 %) had atrophy on medial temporal lobe include amygdala, insula, and orbitofrontal cortex and two (6 %) patients being </w:t>
      </w:r>
      <w:proofErr w:type="spellStart"/>
      <w:r>
        <w:rPr>
          <w:color w:val="000000"/>
          <w:sz w:val="28"/>
          <w:szCs w:val="28"/>
        </w:rPr>
        <w:t>parieto</w:t>
      </w:r>
      <w:proofErr w:type="spellEnd"/>
      <w:r>
        <w:rPr>
          <w:color w:val="000000"/>
          <w:sz w:val="28"/>
          <w:szCs w:val="28"/>
        </w:rPr>
        <w:t xml:space="preserve"> temporal atrophy. In addition to that, MRI showing atrophy in the anterior part of left temporal lobe in the seven patients (22%).The volume of the left temporal lobe of the patients was 26.7- 28 compare to the controls that range 39.83- 40</w:t>
      </w:r>
      <w:r w:rsidR="002B3F39">
        <w:rPr>
          <w:color w:val="000000"/>
          <w:sz w:val="28"/>
          <w:szCs w:val="28"/>
        </w:rPr>
        <w:t xml:space="preserve"> </w:t>
      </w:r>
      <w:r w:rsidR="002B3F39">
        <w:rPr>
          <w:color w:val="000000"/>
          <w:sz w:val="28"/>
          <w:szCs w:val="28"/>
        </w:rPr>
        <w:t>cm</w:t>
      </w:r>
      <w:r>
        <w:rPr>
          <w:color w:val="000000"/>
          <w:sz w:val="28"/>
          <w:szCs w:val="28"/>
        </w:rPr>
        <w:t xml:space="preserve">. Other three (9.3%) showed </w:t>
      </w:r>
      <w:proofErr w:type="spellStart"/>
      <w:r>
        <w:rPr>
          <w:color w:val="000000"/>
          <w:sz w:val="28"/>
          <w:szCs w:val="28"/>
        </w:rPr>
        <w:t>bifrontal</w:t>
      </w:r>
      <w:proofErr w:type="spellEnd"/>
      <w:r>
        <w:rPr>
          <w:color w:val="000000"/>
          <w:sz w:val="28"/>
          <w:szCs w:val="28"/>
        </w:rPr>
        <w:t xml:space="preserve"> and the temporal lobes atrophy  the volume of the </w:t>
      </w:r>
      <w:proofErr w:type="spellStart"/>
      <w:r>
        <w:rPr>
          <w:color w:val="000000"/>
          <w:sz w:val="28"/>
          <w:szCs w:val="28"/>
        </w:rPr>
        <w:t>frontotemporal</w:t>
      </w:r>
      <w:proofErr w:type="spellEnd"/>
      <w:r>
        <w:rPr>
          <w:color w:val="000000"/>
          <w:sz w:val="28"/>
          <w:szCs w:val="28"/>
        </w:rPr>
        <w:t xml:space="preserve"> lobes were 47.81-47.90</w:t>
      </w:r>
      <w:r w:rsidR="002B3F39">
        <w:rPr>
          <w:color w:val="000000"/>
          <w:sz w:val="28"/>
          <w:szCs w:val="28"/>
        </w:rPr>
        <w:t xml:space="preserve">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>and 46.65-47</w:t>
      </w:r>
      <w:r w:rsidR="002B3F39">
        <w:rPr>
          <w:color w:val="000000"/>
          <w:sz w:val="28"/>
          <w:szCs w:val="28"/>
        </w:rPr>
        <w:t xml:space="preserve">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 xml:space="preserve">on the right and left side of the </w:t>
      </w:r>
      <w:r>
        <w:rPr>
          <w:color w:val="000000"/>
          <w:sz w:val="28"/>
          <w:szCs w:val="28"/>
        </w:rPr>
        <w:lastRenderedPageBreak/>
        <w:t>patients respectively compare to the control that measures 98.92 - 97.8</w:t>
      </w:r>
      <w:r w:rsidR="002B3F39">
        <w:rPr>
          <w:color w:val="000000"/>
          <w:sz w:val="28"/>
          <w:szCs w:val="28"/>
        </w:rPr>
        <w:t xml:space="preserve"> </w:t>
      </w:r>
      <w:r w:rsidR="002B3F39">
        <w:rPr>
          <w:color w:val="000000"/>
          <w:sz w:val="28"/>
          <w:szCs w:val="28"/>
        </w:rPr>
        <w:t xml:space="preserve">cm </w:t>
      </w:r>
      <w:r>
        <w:rPr>
          <w:color w:val="000000"/>
          <w:sz w:val="28"/>
          <w:szCs w:val="28"/>
        </w:rPr>
        <w:t>on the right and left side respectively.</w:t>
      </w:r>
      <w:bookmarkStart w:id="0" w:name="_GoBack"/>
      <w:bookmarkEnd w:id="0"/>
    </w:p>
    <w:p w:rsidR="00CD608E" w:rsidRPr="00FD5FC0" w:rsidRDefault="00CD608E" w:rsidP="00CD608E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Conclusions: </w:t>
      </w:r>
      <w:r>
        <w:rPr>
          <w:color w:val="000000"/>
          <w:sz w:val="28"/>
          <w:szCs w:val="28"/>
        </w:rPr>
        <w:t xml:space="preserve">We conducted that hippocampal; amygdala, temporal pole, fusiform and </w:t>
      </w:r>
      <w:proofErr w:type="spellStart"/>
      <w:r>
        <w:rPr>
          <w:color w:val="000000"/>
          <w:sz w:val="28"/>
          <w:szCs w:val="28"/>
        </w:rPr>
        <w:t>infero</w:t>
      </w:r>
      <w:proofErr w:type="spellEnd"/>
      <w:r>
        <w:rPr>
          <w:color w:val="000000"/>
          <w:sz w:val="28"/>
          <w:szCs w:val="28"/>
        </w:rPr>
        <w:t xml:space="preserve"> lateral temporal </w:t>
      </w:r>
      <w:proofErr w:type="spellStart"/>
      <w:r>
        <w:rPr>
          <w:color w:val="000000"/>
          <w:sz w:val="28"/>
          <w:szCs w:val="28"/>
        </w:rPr>
        <w:t>gyri</w:t>
      </w:r>
      <w:proofErr w:type="spellEnd"/>
      <w:r>
        <w:rPr>
          <w:color w:val="000000"/>
          <w:sz w:val="28"/>
          <w:szCs w:val="28"/>
        </w:rPr>
        <w:t xml:space="preserve"> atrophy are seen in patients with pre- senile dementia. These findings have a role for diagnosis and understanding of the pre- senile dementia.</w:t>
      </w:r>
    </w:p>
    <w:p w:rsidR="00AE59BD" w:rsidRPr="00CD608E" w:rsidRDefault="002B3F39" w:rsidP="00CD608E"/>
    <w:sectPr w:rsidR="00AE59BD" w:rsidRPr="00CD608E" w:rsidSect="00CD608E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utiger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1F7"/>
    <w:rsid w:val="00054729"/>
    <w:rsid w:val="000656D9"/>
    <w:rsid w:val="002B3F39"/>
    <w:rsid w:val="002E6ABB"/>
    <w:rsid w:val="00393A39"/>
    <w:rsid w:val="00623DEE"/>
    <w:rsid w:val="007D3950"/>
    <w:rsid w:val="009C3173"/>
    <w:rsid w:val="00CD608E"/>
    <w:rsid w:val="00D24276"/>
    <w:rsid w:val="00DF71F7"/>
    <w:rsid w:val="00EB3A64"/>
    <w:rsid w:val="00FD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EB3A6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EB3A6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2019-01-30T05:15:00Z</dcterms:created>
  <dcterms:modified xsi:type="dcterms:W3CDTF">2019-02-11T07:26:00Z</dcterms:modified>
</cp:coreProperties>
</file>