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315" w:rsidRDefault="007A6315" w:rsidP="007A6315">
      <w:pPr>
        <w:widowControl w:val="0"/>
        <w:autoSpaceDE w:val="0"/>
        <w:autoSpaceDN w:val="0"/>
        <w:adjustRightInd w:val="0"/>
        <w:spacing w:after="0" w:line="360" w:lineRule="auto"/>
        <w:jc w:val="both"/>
        <w:rPr>
          <w:rFonts w:ascii="Times New Roman" w:hAnsi="Times New Roman" w:cs="Times New Roman"/>
          <w:sz w:val="24"/>
          <w:szCs w:val="24"/>
        </w:rPr>
      </w:pPr>
      <w:r w:rsidRPr="00B77043">
        <w:rPr>
          <w:rFonts w:ascii="Times New Roman" w:hAnsi="Times New Roman" w:cs="Times New Roman"/>
          <w:sz w:val="24"/>
          <w:szCs w:val="24"/>
        </w:rPr>
        <w:t xml:space="preserve">Increased consumption of dietary carbohydrates and fat, and chronic low-grade inflammation contribute to the metabolic derangements that lead to obesity and </w:t>
      </w:r>
      <w:r>
        <w:rPr>
          <w:rFonts w:ascii="Times New Roman" w:hAnsi="Times New Roman" w:cs="Times New Roman"/>
          <w:sz w:val="24"/>
          <w:szCs w:val="24"/>
        </w:rPr>
        <w:t xml:space="preserve">type 2 </w:t>
      </w:r>
      <w:r w:rsidRPr="00B77043">
        <w:rPr>
          <w:rFonts w:ascii="Times New Roman" w:hAnsi="Times New Roman" w:cs="Times New Roman"/>
          <w:sz w:val="24"/>
          <w:szCs w:val="24"/>
        </w:rPr>
        <w:t>diabetes</w:t>
      </w:r>
      <w:r>
        <w:rPr>
          <w:rFonts w:ascii="Times New Roman" w:hAnsi="Times New Roman" w:cs="Times New Roman"/>
          <w:sz w:val="24"/>
          <w:szCs w:val="24"/>
        </w:rPr>
        <w:t xml:space="preserve"> (T2D)</w:t>
      </w:r>
      <w:r w:rsidRPr="00B77043">
        <w:rPr>
          <w:rFonts w:ascii="Times New Roman" w:hAnsi="Times New Roman" w:cs="Times New Roman"/>
          <w:sz w:val="24"/>
          <w:szCs w:val="24"/>
        </w:rPr>
        <w:t>. Apart from inflammation</w:t>
      </w:r>
      <w:r>
        <w:rPr>
          <w:rFonts w:ascii="Times New Roman" w:hAnsi="Times New Roman" w:cs="Times New Roman"/>
          <w:sz w:val="24"/>
          <w:szCs w:val="24"/>
        </w:rPr>
        <w:t xml:space="preserve"> </w:t>
      </w:r>
      <w:r w:rsidRPr="00B77043">
        <w:rPr>
          <w:rFonts w:ascii="Times New Roman" w:hAnsi="Times New Roman" w:cs="Times New Roman"/>
          <w:sz w:val="24"/>
          <w:szCs w:val="24"/>
        </w:rPr>
        <w:t>in</w:t>
      </w:r>
      <w:r>
        <w:rPr>
          <w:rFonts w:ascii="Times New Roman" w:hAnsi="Times New Roman" w:cs="Times New Roman"/>
          <w:sz w:val="24"/>
          <w:szCs w:val="24"/>
        </w:rPr>
        <w:t xml:space="preserve"> </w:t>
      </w:r>
      <w:r w:rsidRPr="00B77043">
        <w:rPr>
          <w:rFonts w:ascii="Times New Roman" w:hAnsi="Times New Roman" w:cs="Times New Roman"/>
          <w:sz w:val="24"/>
          <w:szCs w:val="24"/>
        </w:rPr>
        <w:t xml:space="preserve">liver and adipose tissue, </w:t>
      </w:r>
      <w:r>
        <w:rPr>
          <w:rFonts w:ascii="Times New Roman" w:hAnsi="Times New Roman" w:cs="Times New Roman"/>
          <w:sz w:val="24"/>
          <w:szCs w:val="24"/>
        </w:rPr>
        <w:t xml:space="preserve">the </w:t>
      </w:r>
      <w:r w:rsidRPr="00B77043">
        <w:rPr>
          <w:rFonts w:ascii="Times New Roman" w:hAnsi="Times New Roman" w:cs="Times New Roman"/>
          <w:sz w:val="24"/>
          <w:szCs w:val="24"/>
        </w:rPr>
        <w:t>intestine is also a major site for immunological changes that can affect whole body metabolism</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"10.1016/j.metabol.2008.07.029", "ISBN" : "1532-8600 (Electronic)\\r0026-0495 (Linking)", "ISSN" : "00260495", "PMID" : "19013294", "abstract" : "Chronic inflammation and increased visceral adipose tissue (VAT) are key elements of the metabolic syndrome. Both are considered to play a pathogenic role in the development of liver steatosis and insulin resistance. The aim of the present study was to investigate the hypothesis that an inflamed intestine, induced both by diet and chemical irritation, could induce persistent inflammation in VAT. Female C57BL/6JOlaHsd mice were used. In study I, groups of mice (n = 6 per group) were given an obesity-inducing cafeteria diet (diet-induced obesity) or regular chow only (control) for 14 weeks. In study II, colitis in mice (n = 8) was induced by 3% dextran sulfate sodium in tap water for 5 days followed by 21 days of tap water alone. Healthy control mice (n = 8) had tap water only. At the end of the studies, all mice were killed; and blood and tissues were sampled and processed for analysis. Body weight of diet-induced obese mice was greatly increased, with evidence of systemic inflammation, insulin resistance, and liver steatosis. Tissue inflammation indexed by proinflammatory cytokine expression was recorded in liver, mesenteric fat, and proximal colon/distal ileum, but not in subcutaneous or perigonadal fat. In dextran sulfate sodium-induced colitis mice, mesenteric fat was even more inflamed than the colon, whereas a much milder inflammation was seen in liver and subcutaneous fat. The studies showed both diet- and colitis-initiated inflammation in mesenteric fat. Fat depots contiguous with intestine and their capacity for exaggerated inflammatory responses to conditions of impaired gut barrier function may account for the particularly pathogenic role of VAT in obesity-induced metabolic disorders. \u00a9 2008 Elsevier Inc. All rights reserved.", "author" : [ { "dropping-particle" : "", "family" : "Li", "given" : "Hong", "non-dropping-particle" : "", "parse-names" : false, "suffix" : "" }, { "dropping-particle" : "", "family" : "Lelliott", "given" : "Christopher", "non-dropping-particle" : "", "parse-names" : false, "suffix" : "" }, { "dropping-particle" : "", "family" : "H\u00e5kansson", "given" : "Pernilla", "non-dropping-particle" : "", "parse-names" : false, "suffix" : "" }, { "dropping-particle" : "", "family" : "Ploj", "given" : "Karolina", "non-dropping-particle" : "", "parse-names" : false, "suffix" : "" }, { "dropping-particle" : "", "family" : "Tuneld", "given" : "Anna", "non-dropping-particle" : "", "parse-names" : false, "suffix" : "" }, { "dropping-particle" : "", "family" : "Verolin-Johansson", "given" : "Martina", "non-dropping-particle" : "", "parse-names" : false, "suffix" : "" }, { "dropping-particle" : "", "family" : "Benthem", "given" : "Lambertus", "non-dropping-particle" : "", "parse-names" : false, "suffix" : "" }, { "dropping-particle" : "", "family" : "Carlsson", "given" : "Bj\u00f6rn", "non-dropping-particle" : "", "parse-names" : false, "suffix" : "" }, { "dropping-particle" : "", "family" : "Storlien", "given" : "Leonard", "non-dropping-particle" : "", "parse-names" : false, "suffix" : "" }, { "dropping-particle" : "", "family" : "Micha\u00eblsson", "given" : "Erik", "non-dropping-particle" : "", "parse-names" : false, "suffix" : "" } ], "container-title" : "Metabolism: Clinical and Experimental", "id" : "ITEM-1", "issue" : "12", "issued" : { "date-parts" : [ [ "2008" ] ] }, "page" : "1704-1710", "publisher" : "Elsevier Inc.", "title" : "Intestinal, adipose, and liver inflammation in diet-induced obese mice", "type" : "article-journal", "volume" : "57" }, "uris" : [ "http://www.mendeley.com/documents/?uuid=29d4b93c-4d08-47a9-a0a2-c898fcad20fd" ] }, { "id" : "ITEM-2", "itemData" : { "DOI" : "10.1016/j.cmet.2016.01.003", "ISBN" : "1932-7420 (Electronic) 1550-4131 (Linking)", "ISSN" : "19327420", "PMID" : "26853748", "abstract" : "Obesity and insulin resistance are associated with chronic inflammation in metabolic tissues such as adipose tissue and the liver. Recently, growing evidence has implicated the intestinal immune system as an important contributor to metabolic disease. Obesity predisposes to altered intestinal immunity and is associated with changes to the gut microbiota, intestinal barrier function, gut-residing innate and adaptive immune cells, and oral tolerance to luminal antigens. Accordingly, the gut immune system may represent a novel therapeutic target for systemic inflammation in insulin resistance. This review discusses the emerging field of intestinal immunity in obesity-related insulin resistance and how it affects metabolic disease.", "author" : [ { "dropping-particle" : "", "family" : "Winer", "given" : "Daniel A.", "non-dropping-particle" : "", "parse-names" : false, "suffix" : "" }, { "dropping-particle" : "", "family" : "Luck", "given" : "Helen", "non-dropping-particle" : "", "parse-names" : false, "suffix" : "" }, { "dropping-particle" : "", "family" : "Tsai", "given" : "Sue", "non-dropping-particle" : "", "parse-names" : false, "suffix" : "" }, { "dropping-particle" : "", "family" : "Winer", "given" : "Shawn", "non-dropping-particle" : "", "parse-names" : false, "suffix" : "" } ], "container-title" : "Cell Metabolism", "id" : "ITEM-2", "issue" : "3", "issued" : { "date-parts" : [ [ "2016" ] ] }, "page" : "413-426", "publisher" : "Elsevier Inc.", "title" : "The intestinal immune system in obesity and insulin resistance", "type" : "article-journal", "volume" : "23" }, "uris" : [ "http://www.mendeley.com/documents/?uuid=721d5146-0752-4ede-ab15-6ea86ebd8692" ] }, { "id" : "ITEM-3", "itemData" : { "DOI" : "10.1172/JCI88879", "ISSN" : "1558-8238", "PMID" : "28045403", "abstract" : "Obesity and diabetes are associated with increased chronic low-grade inflammation and elevated plasma glucose levels. Although inflammation in the fat and liver are established features of obesity-associated insulin resistance, the intestine is emerging as a new site for immunologic changes that affect whole-body metabolism. Specifically, microbial and dietary factors incurred by diet-induced obesity influence underlying innate and adaptive responses of the intestinal immune system. These responses affect the maintenance of the intestinal barrier, systemic inflammation, and glucose metabolism. In this Review we propose that an understanding of the changes to the intestinal immune system, and how these changes influence systemic immunity and glucose metabolism in a whole-body integrative and a neuronal-dependent network, will unveil novel intestinal pathologic and therapeutic targets for diabetes and obesity.", "author" : [ { "dropping-particle" : "", "family" : "Winer", "given" : "Daniel A", "non-dropping-particle" : "", "parse-names" : false, "suffix" : "" }, { "dropping-particle" : "", "family" : "Winer", "given" : "Shawn", "non-dropping-particle" : "", "parse-names" : false, "suffix" : "" }, { "dropping-particle" : "", "family" : "Dranse", "given" : "Helen J", "non-dropping-particle" : "", "parse-names" : false, "suffix" : "" }, { "dropping-particle" : "", "family" : "Lam", "given" : "Tony K T", "non-dropping-particle" : "", "parse-names" : false, "suffix" : "" } ], "container-title" : "The Journal of clinical investigation", "id" : "ITEM-3", "issue" : "1", "issued" : { "date-parts" : [ [ "2017", "1", "3" ] ] }, "page" : "33-42", "title" : "Immunologic impact of the intestine in metabolic disease.", "type" : "article-journal", "volume" : "127" }, "uris" : [ "http://www.mendeley.com/documents/?uuid=393c3048-a601-4b03-895d-ea3b37134203" ] } ], "mendeley" : { "formattedCitation" : "&lt;sup&gt;1\u20133&lt;/sup&gt;", "plainTextFormattedCitation" : "1\u20133", "previouslyFormattedCitation" : "&lt;sup&gt;1\u20133&lt;/sup&gt;" }, "properties" : { "noteIndex" : 0 }, "schema" : "https://github.com/citation-style-language/schema/raw/master/csl-citation.json" }</w:instrText>
      </w:r>
      <w:r>
        <w:rPr>
          <w:rFonts w:ascii="Times New Roman" w:hAnsi="Times New Roman" w:cs="Times New Roman"/>
          <w:sz w:val="24"/>
          <w:szCs w:val="24"/>
        </w:rPr>
        <w:fldChar w:fldCharType="separate"/>
      </w:r>
      <w:r w:rsidRPr="000159FA">
        <w:rPr>
          <w:rFonts w:ascii="Times New Roman" w:hAnsi="Times New Roman" w:cs="Times New Roman"/>
          <w:noProof/>
          <w:sz w:val="24"/>
          <w:szCs w:val="24"/>
          <w:vertAlign w:val="superscript"/>
        </w:rPr>
        <w:t>1–3</w:t>
      </w:r>
      <w:r>
        <w:rPr>
          <w:rFonts w:ascii="Times New Roman" w:hAnsi="Times New Roman" w:cs="Times New Roman"/>
          <w:sz w:val="24"/>
          <w:szCs w:val="24"/>
        </w:rPr>
        <w:fldChar w:fldCharType="end"/>
      </w:r>
      <w:r w:rsidRPr="00B77043">
        <w:rPr>
          <w:rFonts w:ascii="Times New Roman" w:hAnsi="Times New Roman" w:cs="Times New Roman"/>
          <w:sz w:val="24"/>
          <w:szCs w:val="24"/>
        </w:rPr>
        <w:t>. Intestinal immune system comprises the epithelium, the underlying lamina propria and the muscularis mucosa, that contain many cells of the innate and adaptive immune system</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"10.1038/nri3738", "ISBN" : "1474-1741 (Electronic) 1474-1733 (Linking)", "ISSN" : "1474-1733", "PMID" : "25234148", "abstract" : "The intestine represents the largest compartment of the immune system. It is continually exposed to antigens and immunomodulatory agents from the diet and the commensal microbiota, and it is the port of entry for many clinically important pathogens. Intestinal immune processes are also increasingly implicated in controlling disease development elsewhere in the body. In this Review, we detail the anatomical and physiological distinctions that are observed in the small and large intestines, and we suggest how these may account for the diversity in the immune apparatus that is seen throughout the intestine. We describe how the distribution of innate, adaptive and innate-like immune cells varies in different segments of the intestine and discuss the environmental factors that may influence this. Finally, we consider the implications of regional immune specialization for inflammatory disease in the intestine.", "author" : [ { "dropping-particle" : "", "family" : "Mowat", "given" : "Allan M.", "non-dropping-particle" : "", "parse-names" : false, "suffix" : "" }, { "dropping-particle" : "", "family" : "Agace", "given" : "William W.", "non-dropping-particle" : "", "parse-names" : false, "suffix" : "" } ], "container-title" : "Nat Rev Immunol", "id" : "ITEM-1", "issue" : "10", "issued" : { "date-parts" : [ [ "2014" ] ] }, "page" : "667-685", "title" : "Regional specialization within the intestinal immune system", "type" : "article-journal", "volume" : "14" }, "uris" : [ "http://www.mendeley.com/documents/?uuid=658e5a9f-dae3-4d3d-bd21-de36b03b17fa" ] }, { "id" : "ITEM-2", "itemData" : { "DOI" : "10.1038/nri3608", "ISBN" : "1474-1741 (Electronic)\\r1474-1733 (Linking)", "ISSN" : "1474-1741", "PMID" : "24566914", "abstract" : "The abundance of innate and adaptive immune cells that reside together with trillions of beneficial commensal microorganisms in the mammalian gastrointestinal tract requires barrier and regulatory mechanisms that conserve host-microbial interactions and tissue homeostasis. This homeostasis depends on the diverse functions of intestinal epithelial cells (IECs), which include the physical segregation of commensal bacteria and the integration of microbial signals. Hence, IECs are crucial mediators of intestinal homeostasis that enable the establishment of an immunological environment permissive to colonization by commensal bacteria. In this Review, we provide a comprehensive overview of how IECs maintain host-commensal microbial relationships and immune cell homeostasis in the intestine.", "author" : [ { "dropping-particle" : "", "family" : "Peterson", "given" : "L W", "non-dropping-particle" : "", "parse-names" : false, "suffix" : "" }, { "dropping-particle" : "", "family" : "Artis", "given" : "D", "non-dropping-particle" : "", "parse-names" : false, "suffix" : "" } ], "container-title" : "Nat Rev Immunol", "id" : "ITEM-2", "issue" : "3", "issued" : { "date-parts" : [ [ "2014" ] ] }, "page" : "141-153", "publisher" : "Nature Publishing Group", "title" : "Intestinal epithelial cells: regulators of barrier function and immune homeostasis", "type" : "article-journal", "volume" : "14" }, "uris" : [ "http://www.mendeley.com/documents/?uuid=cc5a850e-6443-4171-b14b-a628c22a2daf" ] } ], "mendeley" : { "formattedCitation" : "&lt;sup&gt;4,5&lt;/sup&gt;", "plainTextFormattedCitation" : "4,5", "previouslyFormattedCitation" : "&lt;sup&gt;4,5&lt;/sup&gt;" }, "properties" : { "noteIndex" : 0 }, "schema" : "https://github.com/citation-style-language/schema/raw/master/csl-citation.json" }</w:instrText>
      </w:r>
      <w:r>
        <w:rPr>
          <w:rFonts w:ascii="Times New Roman" w:hAnsi="Times New Roman" w:cs="Times New Roman"/>
          <w:sz w:val="24"/>
          <w:szCs w:val="24"/>
        </w:rPr>
        <w:fldChar w:fldCharType="separate"/>
      </w:r>
      <w:r w:rsidRPr="0062667A">
        <w:rPr>
          <w:rFonts w:ascii="Times New Roman" w:hAnsi="Times New Roman" w:cs="Times New Roman"/>
          <w:noProof/>
          <w:sz w:val="24"/>
          <w:szCs w:val="24"/>
          <w:vertAlign w:val="superscript"/>
        </w:rPr>
        <w:t>4,5</w:t>
      </w:r>
      <w:r>
        <w:rPr>
          <w:rFonts w:ascii="Times New Roman" w:hAnsi="Times New Roman" w:cs="Times New Roman"/>
          <w:sz w:val="24"/>
          <w:szCs w:val="24"/>
        </w:rPr>
        <w:fldChar w:fldCharType="end"/>
      </w:r>
      <w:r w:rsidRPr="00B77043">
        <w:rPr>
          <w:rFonts w:ascii="Times New Roman" w:hAnsi="Times New Roman" w:cs="Times New Roman"/>
          <w:sz w:val="24"/>
          <w:szCs w:val="24"/>
        </w:rPr>
        <w:t>.</w:t>
      </w:r>
      <w:r>
        <w:rPr>
          <w:rFonts w:ascii="Times New Roman" w:hAnsi="Times New Roman" w:cs="Times New Roman"/>
          <w:sz w:val="24"/>
          <w:szCs w:val="24"/>
        </w:rPr>
        <w:t xml:space="preserve"> </w:t>
      </w:r>
      <w:r w:rsidRPr="00B77043">
        <w:rPr>
          <w:rFonts w:ascii="Times New Roman" w:hAnsi="Times New Roman" w:cs="Times New Roman"/>
          <w:sz w:val="24"/>
          <w:szCs w:val="24"/>
        </w:rPr>
        <w:t>Janus kinase 2 (JAK2) mediates signaling</w:t>
      </w:r>
      <w:r>
        <w:rPr>
          <w:rFonts w:ascii="Times New Roman" w:hAnsi="Times New Roman" w:cs="Times New Roman"/>
          <w:sz w:val="24"/>
          <w:szCs w:val="24"/>
        </w:rPr>
        <w:t xml:space="preserve"> </w:t>
      </w:r>
      <w:r w:rsidRPr="00B77043">
        <w:rPr>
          <w:rFonts w:ascii="Times New Roman" w:hAnsi="Times New Roman" w:cs="Times New Roman"/>
          <w:sz w:val="24"/>
          <w:szCs w:val="24"/>
        </w:rPr>
        <w:t>downstream of numerous cytokines, growth factors and hormones</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"10.1038/sj.onc.1203925", "ISSN" : "09509232", "PMID" : "11114747", "abstract" : "Cytoplasmic Janus protein tyrosine kinases (JAKs) are crucial components of diverse signal transduction pathways that govern cellular survival, proliferation, differentiation and apoptosis. Evidence to date, indicates that JAK kinase function may integrate components of diverse signaling cascades. While it is likely that activation of STAT proteins may be an important function attributed to the JAK kinases, it is certainly not the only function performed by this key family of cytoplasmic tyrosine kinases. Emerging evidence indicates that phosphorylation of cytokine and growth factor receptors may be the primary functional attribute of JAK kinases. The JAK-triggered receptor phosphorylation can potentially be a rate-limiting event for a successful culmination of downstream signaling events. In support of this hypothesis, it has been found that JAK kinase function is required for optimal activation of the Src-kinase cascade, the Ras-MAP kinase pathway, the PI3K-AKT pathway and STAT signaling following the interaction of cytokine/interferon receptors with their ligands. Aberrations in JAK kinase activity, that may lead to derailment of one or more of the above mentioned pathways could disrupt normal cellular responses and result in disease states. Thus, over-activation of JAK kinases has been implicated in tumorigenesis. In contrast, loss of JAK kinase function has been found to result in disease states such as severe-combined immunodeficiency. In summary, optimal JAK kinase activity is a critical determinant of normal transmission of cytokine and growth factor signals.", "author" : [ { "dropping-particle" : "", "family" : "Rane", "given" : "Sushil G", "non-dropping-particle" : "", "parse-names" : false, "suffix" : "" }, { "dropping-particle" : "", "family" : "Reddy", "given" : "E Premkumar", "non-dropping-particle" : "", "parse-names" : false, "suffix" : "" } ], "container-title" : "Oncogene", "id" : "ITEM-1", "issue" : "49", "issued" : { "date-parts" : [ [ "2000" ] ] }, "page" : "5662-5679", "title" : "Janus kinases: components of multiple signaling pathways", "type" : "article-journal", "volume" : "19" }, "uris" : [ "http://www.mendeley.com/documents/?uuid=1a395828-e031-44fe-bf86-8b2a5c696897" ] } ], "mendeley" : { "formattedCitation" : "&lt;sup&gt;6&lt;/sup&gt;", "plainTextFormattedCitation" : "6", "previouslyFormattedCitation" : "&lt;sup&gt;6&lt;/sup&gt;" }, "properties" : { "noteIndex" : 0 }, "schema" : "https://github.com/citation-style-language/schema/raw/master/csl-citation.json" }</w:instrText>
      </w:r>
      <w:r>
        <w:rPr>
          <w:rFonts w:ascii="Times New Roman" w:hAnsi="Times New Roman" w:cs="Times New Roman"/>
          <w:sz w:val="24"/>
          <w:szCs w:val="24"/>
        </w:rPr>
        <w:fldChar w:fldCharType="separate"/>
      </w:r>
      <w:r w:rsidRPr="0062667A">
        <w:rPr>
          <w:rFonts w:ascii="Times New Roman" w:hAnsi="Times New Roman" w:cs="Times New Roman"/>
          <w:noProof/>
          <w:sz w:val="24"/>
          <w:szCs w:val="24"/>
          <w:vertAlign w:val="superscript"/>
        </w:rPr>
        <w:t>6</w:t>
      </w:r>
      <w:r>
        <w:rPr>
          <w:rFonts w:ascii="Times New Roman" w:hAnsi="Times New Roman" w:cs="Times New Roman"/>
          <w:sz w:val="24"/>
          <w:szCs w:val="24"/>
        </w:rPr>
        <w:fldChar w:fldCharType="end"/>
      </w:r>
      <w:r>
        <w:rPr>
          <w:rFonts w:ascii="Times New Roman" w:hAnsi="Times New Roman" w:cs="Times New Roman"/>
          <w:sz w:val="24"/>
          <w:szCs w:val="24"/>
        </w:rPr>
        <w:t>; and we and others have shown</w:t>
      </w:r>
      <w:r w:rsidRPr="00B77043">
        <w:rPr>
          <w:rFonts w:ascii="Times New Roman" w:hAnsi="Times New Roman" w:cs="Times New Roman"/>
          <w:sz w:val="24"/>
          <w:szCs w:val="24"/>
        </w:rPr>
        <w:t xml:space="preserve"> JAK2 </w:t>
      </w:r>
      <w:r>
        <w:rPr>
          <w:rFonts w:ascii="Times New Roman" w:hAnsi="Times New Roman" w:cs="Times New Roman"/>
          <w:sz w:val="24"/>
          <w:szCs w:val="24"/>
        </w:rPr>
        <w:t xml:space="preserve">to </w:t>
      </w:r>
      <w:r w:rsidRPr="00B77043">
        <w:rPr>
          <w:rFonts w:ascii="Times New Roman" w:hAnsi="Times New Roman" w:cs="Times New Roman"/>
          <w:sz w:val="24"/>
          <w:szCs w:val="24"/>
        </w:rPr>
        <w:t>play</w:t>
      </w:r>
      <w:r>
        <w:rPr>
          <w:rFonts w:ascii="Times New Roman" w:hAnsi="Times New Roman" w:cs="Times New Roman"/>
          <w:sz w:val="24"/>
          <w:szCs w:val="24"/>
        </w:rPr>
        <w:t xml:space="preserve"> essential metabolic </w:t>
      </w:r>
      <w:r w:rsidRPr="00B77043">
        <w:rPr>
          <w:rFonts w:ascii="Times New Roman" w:hAnsi="Times New Roman" w:cs="Times New Roman"/>
          <w:sz w:val="24"/>
          <w:szCs w:val="24"/>
        </w:rPr>
        <w:t>role</w:t>
      </w:r>
      <w:r>
        <w:rPr>
          <w:rFonts w:ascii="Times New Roman" w:hAnsi="Times New Roman" w:cs="Times New Roman"/>
          <w:sz w:val="24"/>
          <w:szCs w:val="24"/>
        </w:rPr>
        <w:t>s that determine</w:t>
      </w:r>
      <w:r w:rsidRPr="00B77043">
        <w:rPr>
          <w:rFonts w:ascii="Times New Roman" w:hAnsi="Times New Roman" w:cs="Times New Roman"/>
          <w:sz w:val="24"/>
          <w:szCs w:val="24"/>
        </w:rPr>
        <w:t xml:space="preserve"> obesity and diabetes</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"10.1172/JCI42894", "ISSN" : "1558-8238", "PMID" : "21364286", "abstract" : "Non-alcoholic fatty liver disease is associated with multiple comorbid conditions, including diabetes, obesity, infection, and malnutrition. Mice with hepatocyte-specific disruption of growth hormone (GH) signaling develop fatty liver (FL), although the precise mechanism underlying this finding remains unknown. Because GH signals through JAK2, we developed mice bearing hepatocyte-specific deletion of JAK2 (referred to herein as JAK2L mice). These mice were lean, but displayed markedly elevated levels of GH, liver triglycerides (TGs), and plasma FFAs. Because GH is known to promote lipolysis, we crossed GH-deficient little mice to JAK2L mice, and this rescued the FL phenotype. Expression of the fatty acid transporter CD36 was dramatically increased in livers of JAK2L mice, as was expression of Pparg. Since GH signaling represses PPAR\u03b3 expression and Cd36 is a known transcriptional target of PPAR\u03b3, we treated JAK2L mice with the PPAR\u03b3-specific antagonist GW9662. This resulted in reduced expression of liver Cd36 and decreased liver TG content. These results provide a mechanism for the FL observed in mice with liver-specific disruption in GH signaling and suggest that the development of FL depends on both GH-dependent increases in plasma FFA and increased hepatic uptake of FFA, likely mediated by increased expression of CD36.", "author" : [ { "dropping-particle" : "", "family" : "Sos", "given" : "Brandon C", "non-dropping-particle" : "", "parse-names" : false, "suffix" : "" }, { "dropping-particle" : "", "family" : "Harris", "given" : "Charles", "non-dropping-particle" : "", "parse-names" : false, "suffix" : "" }, { "dropping-particle" : "", "family" : "Nordstrom", "given" : "Sarah M", "non-dropping-particle" : "", "parse-names" : false, "suffix" : "" }, { "dropping-particle" : "", "family" : "Tran", "given" : "Jennifer L", "non-dropping-particle" : "", "parse-names" : false, "suffix" : "" }, { "dropping-particle" : "", "family" : "Bal\u00e1zs", "given" : "Mercedesz", "non-dropping-particle" : "", "parse-names" : false, "suffix" : "" }, { "dropping-particle" : "", "family" : "Caplazi", "given" : "Patrick", "non-dropping-particle" : "", "parse-names" : false, "suffix" : "" }, { "dropping-particle" : "", "family" : "Febbraio", "given" : "Maria", "non-dropping-particle" : "", "parse-names" : false, "suffix" : "" }, { "dropping-particle" : "", "family" : "Applegate", "given" : "Milana A B", "non-dropping-particle" : "", "parse-names" : false, "suffix" : "" }, { "dropping-particle" : "", "family" : "Wagner", "given" : "Kay-Uwe", "non-dropping-particle" : "", "parse-names" : false, "suffix" : "" }, { "dropping-particle" : "", "family" : "Weiss", "given" : "Ethan J", "non-dropping-particle" : "", "parse-names" : false, "suffix" : "" } ], "container-title" : "The Journal of clinical investigation", "id" : "ITEM-1", "issue" : "4", "issued" : { "date-parts" : [ [ "2011", "4" ] ] }, "page" : "1412-23", "title" : "Abrogation of growth hormone secretion rescues fatty liver in mice with hepatocyte-specific deletion of JAK2.", "type" : "article-journal", "volume" : "121" }, "uris" : [ "http://www.mendeley.com/documents/?uuid=7c42447c-accc-4151-9a10-f706b751f019" ] }, { "id" : "ITEM-2", "itemData" : { "DOI" : "10.1074/jbc.M111.317453", "ISSN" : "1083-351X", "PMID" : "22275361", "abstract" : "Non-alcoholic fatty liver disease (NAFLD) is becoming the leading cause of chronic liver disease and is now considered to be the hepatic manifestation of the metabolic syndrome. However, the role of steatosis per se and the precise factors required in the progression to steatohepatitis or insulin resistance remain elusive. The JAK-STAT pathway is critical in mediating signaling of a wide variety of cytokines and growth factors. Mice with hepatocyte-specific deletion of Janus kinase 2 (L-JAK2 KO mice) develop spontaneous steatosis as early as 2 weeks of age. In this study, we investigated the metabolic consequences of jak2 deletion in response to diet-induced metabolic stress. To our surprise, despite the profound hepatosteatosis, deletion of hepatic jak2 did not sensitize the liver to accelerated inflammatory injury on a prolonged high fat diet (HFD). This was accompanied by complete protection against HFD-induced whole-body insulin resistance and glucose intolerance. Improved glucose-stimulated insulin secretion and an increase in \u03b2-cell mass were also present in these mice. Moreover, L-JAK2 KO mice had progressively reduced adiposity in association with blunted hepatic growth hormone signaling. These mice also exhibited increased resting energy expenditure on both chow and high fat diet. In conclusion, our findings indicate a key role of hepatic JAK2 in metabolism such that its absence completely arrests steatohepatitis development and confers protection against diet-induced systemic insulin resistance and glucose intolerance.", "author" : [ { "dropping-particle" : "", "family" : "Shi", "given" : "Sally Yu", "non-dropping-particle" : "", "parse-names" : false, "suffix" : "" }, { "dropping-particle" : "", "family" : "Martin", "given" : "Rub\u00e9n Garc\u00eda", "non-dropping-particle" : "", "parse-names" : false, "suffix" : "" }, { "dropping-particle" : "", "family" : "Duncan", "given" : "Robin E", "non-dropping-particle" : "", "parse-names" : false, "suffix" : "" }, { "dropping-particle" : "", "family" : "Choi", "given" : "Diana", "non-dropping-particle" : "", "parse-names" : false, "suffix" : "" }, { "dropping-particle" : "", "family" : "Lu", "given" : "Shun-Yan", "non-dropping-particle" : "", "parse-names" : false, "suffix" : "" }, { "dropping-particle" : "", "family" : "Schroer", "given" : "Stephanie A", "non-dropping-particle" : "", "parse-names" : false, "suffix" : "" }, { "dropping-particle" : "", "family" : "Cai", "given" : "Erica P", "non-dropping-particle" : "", "parse-names" : false, "suffix" : "" }, { "dropping-particle" : "", "family" : "Luk", "given" : "Cynthia T", "non-dropping-particle" : "", "parse-names" : false, "suffix" : "" }, { "dropping-particle" : "", "family" : "Hopperton", "given" : "Kathryn E", "non-dropping-particle" : "", "parse-names" : false, "suffix" : "" }, { "dropping-particle" : "", "family" : "Domenichiello", "given" : "Anthony F", "non-dropping-particle" : "", "parse-names" : false, "suffix" : "" }, { "dropping-particle" : "", "family" : "Tang", "given" : "Christine", "non-dropping-particle" : "", "parse-names" : false, "suffix" : "" }, { "dropping-particle" : "", "family" : "Naples", "given" : "Mark", "non-dropping-particle" : "", "parse-names" : false, "suffix" : "" }, { "dropping-particle" : "", "family" : "Dekker", "given" : "Mark J", "non-dropping-particle" : "", "parse-names" : false, "suffix" : "" }, { "dropping-particle" : "", "family" : "Giacca", "given" : "Adria", "non-dropping-particle" : "", "parse-names" : false, "suffix" : "" }, { "dropping-particle" : "", "family" : "Adeli", "given" : "Khosrow", "non-dropping-particle" : "", "parse-names" : false, "suffix" : "" }, { "dropping-particle" : "", "family" : "Wagner", "given" : "Kay-Uwe", "non-dropping-particle" : "", "parse-names" : false, "suffix" : "" }, { "dropping-particle" : "", "family" : "Bazinet", "given" : "Richard P", "non-dropping-particle" : "", "parse-names" : false, "suffix" : "" }, { "dropping-particle" : "", "family" : "Woo", "given" : "Minna", "non-dropping-particle" : "", "parse-names" : false, "suffix" : "" } ], "container-title" : "The Journal of biological chemistry", "id" : "ITEM-2", "issue" : "13", "issued" : { "date-parts" : [ [ "2012", "3", "23" ] ] }, "page" : "10277-88", "title" : "Hepatocyte-specific deletion of Janus kinase 2 (JAK2) protects against diet-induced steatohepatitis and glucose intolerance.", "type" : "article-journal", "volume" : "287" }, "uris" : [ "http://www.mendeley.com/documents/?uuid=314763ec-84f4-42c8-afcf-f1d4fb724fc7" ] }, { "id" : "ITEM-3", "itemData" : { "DOI" : "10.1007/s00125-014-3185-0", "ISSN" : "1432-0428", "PMID" : "24531222", "abstract" : "AIMS/HYPOTHESIS The growing obesity epidemic necessitates a better understanding of adipocyte biology and its role in metabolism. The Janus kinase (JAK)-signal transducer and activator of transcription (STAT) pathway mediates signalling by numerous cytokines and hormones that regulate adipocyte function, illustrating the physiological importance of adipose JAK-STAT. The aim of this study was to investigate potential roles of adipocyte JAK2, an essential player in the JAK-STAT pathway, in adipocyte biology and metabolism. METHODS We generated adipocyte-specific Jak2 knockout (A-Jak2 KO) mice using the Cre-loxP system with Cre expression driven by the Ap2 (also known as Fabp4) promoter. RESULTS Starting at 2-3 months of age, male and female A-Jak2 KO mice gradually gained more body weight than control littermates primarily due to increased adiposity. This was associated with reduced energy expenditure in A-Jak2 KO mice. In perigonadal adipose tissue, the expression of numerous genes involved in lipid metabolism was differentially regulated. In addition, adipose tissue from A-Jak2 KO mice displayed impaired lipolysis in response to isoprenaline, growth hormone and leptin stimulation, suggesting that adipose JAK2 directly modulates the lipolytic program. Impaired lipid homeostasis was also associated with disrupted adipokine secretion. Accordingly, while glucose metabolism was normal at 2 months of age, by 5-6 months of age, A-Jak2 KO mice had whole-body insulin resistance. CONCLUSIONS/INTERPRETATION Our results suggest that adipocyte JAK2 plays a critical role in the regulation of adipocyte biology and whole-body metabolism. Targeting of the JAK-STAT pathway could be a novel therapeutic option for the treatment of obesity and type 2 diabetes.", "author" : [ { "dropping-particle" : "", "family" : "Shi", "given" : "Sally Yu", "non-dropping-particle" : "", "parse-names" : false, "suffix" : "" }, { "dropping-particle" : "", "family" : "Luk", "given" : "Cynthia T", "non-dropping-particle" : "", "parse-names" : false, "suffix" : "" }, { "dropping-particle" : "", "family" : "Brunt", "given" : "Jara J", "non-dropping-particle" : "", "parse-names" : false, "suffix" : "" }, { "dropping-particle" : "", "family" : "Sivasubramaniyam", "given" : "Tharini", "non-dropping-particle" : "", "parse-names" : false, "suffix" : "" }, { "dropping-particle" : "", "family" : "Lu", "given" : "Shun-Yan", "non-dropping-particle" : "", "parse-names" : false, "suffix" : "" }, { "dropping-particle" : "", "family" : "Schroer", "given" : "Stephanie A", "non-dropping-particle" : "", "parse-names" : false, "suffix" : "" }, { "dropping-particle" : "", "family" : "Woo", "given" : "Minna", "non-dropping-particle" : "", "parse-names" : false, "suffix" : "" } ], "container-title" : "Diabetologia", "id" : "ITEM-3", "issue" : "5", "issued" : { "date-parts" : [ [ "2014", "5" ] ] }, "page" : "1016-26", "title" : "Adipocyte-specific deficiency of Janus kinase (JAK) 2 in mice impairs lipolysis and increases body weight, and leads to insulin resistance with ageing.", "type" : "article-journal", "volume" : "57" }, "uris" : [ "http://www.mendeley.com/documents/?uuid=35527a16-f872-482a-b5ea-0689f8ac88c2" ] }, { "id" : "ITEM-4", "itemData" : { "DOI" : "10.1007/s00125-015-3786-2", "ISSN" : "1432-0428", "PMID" : "26515423", "abstract" : "AIMS/HYPOTHESIS Non-shivering thermogenesis in adipose tissue can be activated by excessive energy intake or following cold exposure. The molecular mechanisms regulating this activation have not been fully elucidated. The Janus kinase (JAK) - signal transducer and activator of transcription (STAT) pathway mediates the signal transduction of numerous hormones and growth factors that regulate adipose tissue development and function, and may play a role in adaptive thermogenesis. METHODS We analysed mRNA and protein levels of uncoupling protein 1 (UCP1) and JAK2 in different adipose depots in response to metabolic and thermal stress. The in vivo role of JAK2 in adaptive thermogenesis was examined using mice with adipocyte-specific Jak2 deficiency (A-Jak2 KO). RESULTS We show in murine brown adipose tissue (BAT) that JAK2 is upregulated together with UCP1 in response to high-fat diet (HFD) feeding and cold exposure. In contrast to white adipose tissue, where JAK2 was dispensable for UCP1 induction, we identified an essential role for BAT JAK2 in diet- and cold-induced thermogenesis via mediating the thermogenic response to \u03b2-adrenergic stimulation. Accordingly, A-Jak2 KO mice were unable to upregulate BAT UCP1 following a HFD or after cold exposure. Therefore, A-Jak2 KO mice were cold intolerant and susceptible to HFD-induced obesity and diabetes. CONCLUSIONS/INTERPRETATION Taken together, our results suggest that JAK2 plays a critical role in BAT function and adaptive thermogenesis. Targeting the JAK-STAT pathway may be a novel therapeutic approach for the treatment of obesity and related metabolic disorders.", "author" : [ { "dropping-particle" : "", "family" : "Shi", "given" : "Sally Yu", "non-dropping-particle" : "", "parse-names" : false, "suffix" : "" }, { "dropping-particle" : "", "family" : "Zhang", "given" : "Wei", "non-dropping-particle" : "", "parse-names" : false, "suffix" : "" }, { "dropping-particle" : "", "family" : "Luk", "given" : "Cynthia T", "non-dropping-particle" : "", "parse-names" : false, "suffix" : "" }, { "dropping-particle" : "", "family" : "Sivasubramaniyam", "given" : "Tharini", "non-dropping-particle" : "", "parse-names" : false, "suffix" : "" }, { "dropping-particle" : "", "family" : "Brunt", "given" : "Jara J", "non-dropping-particle" : "", "parse-names" : false, "suffix" : "" }, { "dropping-particle" : "", "family" : "Schroer", "given" : "Stephanie A", "non-dropping-particle" : "", "parse-names" : false, "suffix" : "" }, { "dropping-particle" : "", "family" : "Desai", "given" : "Harsh R", "non-dropping-particle" : "", "parse-names" : false, "suffix" : "" }, { "dropping-particle" : "", "family" : "Majerski", "given" : "Alexandra", "non-dropping-particle" : "", "parse-names" : false, "suffix" : "" }, { "dropping-particle" : "", "family" : "Woo", "given" : "Minna", "non-dropping-particle" : "", "parse-names" : false, "suffix" : "" } ], "container-title" : "Diabetologia", "id" : "ITEM-4", "issue" : "1", "issued" : { "date-parts" : [ [ "2016", "1" ] ] }, "page" : "187-96", "title" : "JAK2 promotes brown adipose tissue function and is required for diet- and cold-induced thermogenesis in mice.", "type" : "article-journal", "volume" : "59" }, "uris" : [ "http://www.mendeley.com/documents/?uuid=ddf52632-7fd0-4190-af49-8849f5f2000f" ] } ], "mendeley" : { "formattedCitation" : "&lt;sup&gt;7\u201310&lt;/sup&gt;", "plainTextFormattedCitation" : "7\u201310", "previouslyFormattedCitation" : "&lt;sup&gt;7\u201310&lt;/sup&gt;" }, "properties" : { "noteIndex" : 0 }, "schema" : "https://github.com/citation-style-language/schema/raw/master/csl-citation.json" }</w:instrText>
      </w:r>
      <w:r>
        <w:rPr>
          <w:rFonts w:ascii="Times New Roman" w:hAnsi="Times New Roman" w:cs="Times New Roman"/>
          <w:sz w:val="24"/>
          <w:szCs w:val="24"/>
        </w:rPr>
        <w:fldChar w:fldCharType="separate"/>
      </w:r>
      <w:r w:rsidRPr="0091303F">
        <w:rPr>
          <w:rFonts w:ascii="Times New Roman" w:hAnsi="Times New Roman" w:cs="Times New Roman"/>
          <w:noProof/>
          <w:sz w:val="24"/>
          <w:szCs w:val="24"/>
          <w:vertAlign w:val="superscript"/>
        </w:rPr>
        <w:t>7–10</w:t>
      </w:r>
      <w:r>
        <w:rPr>
          <w:rFonts w:ascii="Times New Roman" w:hAnsi="Times New Roman" w:cs="Times New Roman"/>
          <w:sz w:val="24"/>
          <w:szCs w:val="24"/>
        </w:rPr>
        <w:fldChar w:fldCharType="end"/>
      </w:r>
      <w:r w:rsidRPr="00B77043">
        <w:rPr>
          <w:rFonts w:ascii="Times New Roman" w:hAnsi="Times New Roman" w:cs="Times New Roman"/>
          <w:sz w:val="24"/>
          <w:szCs w:val="24"/>
        </w:rPr>
        <w:t>. Beside regulating inflammatory responses, JAK2 has been shown to be involved in the regulation of several ion channels and transporters present</w:t>
      </w:r>
      <w:r>
        <w:rPr>
          <w:rFonts w:ascii="Times New Roman" w:hAnsi="Times New Roman" w:cs="Times New Roman"/>
          <w:sz w:val="24"/>
          <w:szCs w:val="24"/>
        </w:rPr>
        <w:t xml:space="preserve"> in</w:t>
      </w:r>
      <w:r w:rsidRPr="00B77043">
        <w:rPr>
          <w:rFonts w:ascii="Times New Roman" w:hAnsi="Times New Roman" w:cs="Times New Roman"/>
          <w:sz w:val="24"/>
          <w:szCs w:val="24"/>
        </w:rPr>
        <w:t xml:space="preserve"> the gut including Na</w:t>
      </w:r>
      <w:r w:rsidRPr="00324917">
        <w:rPr>
          <w:rFonts w:ascii="Times New Roman" w:hAnsi="Times New Roman" w:cs="Times New Roman"/>
          <w:sz w:val="24"/>
          <w:szCs w:val="24"/>
          <w:vertAlign w:val="superscript"/>
        </w:rPr>
        <w:t>+</w:t>
      </w:r>
      <w:r w:rsidRPr="00B77043">
        <w:rPr>
          <w:rFonts w:ascii="Times New Roman" w:hAnsi="Times New Roman" w:cs="Times New Roman"/>
          <w:sz w:val="24"/>
          <w:szCs w:val="24"/>
        </w:rPr>
        <w:t>-D-glucose co-transporter SGLT1, GLUT1 and GLUT4</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"10.1016/j.bbrc.2011.03.036", "ISBN" : "1090-2104 (Electronic) 0006-291X (Linking)", "ISSN" : "0006291X", "PMID" : "21406183", "abstract" : "JAK2 (Janus kinase-2) overactivity contributes to survival of tumor cells and the V617FJAK2 mutant is found in the majority of myeloproliferative diseases. Tumor cell survival depends on availability of glucose. Concentrative cellular glucose uptake is accomplished by Na+ coupled glucose transport through SGLT1 (SLC5A1), which may operate against a chemical glucose gradient and may thus be effective even at low extracellular glucose concentrations. The present study thus explored whether JAK2 activates SGLT1. To this end, SGLT1 was expressed in Xenopus oocytes with or without wild type JAK2, V617FJAK2 or inactive K882EJAK2 and electrogenic glucose transport determined by dual electrode voltage clamp experiments. In SGLT1-expressing oocytes but not in oocytes injected with water or JAK2 alone, the addition of glucose to the extracellular bath generated a current (Ig), which was significantly increased following coexpression of JAK2 or V617FJAK2, but not by coexpression of K882EJAK2. Kinetic analysis revealed that coexpression of JAK2 enhanced the maximal transport rate without significantly modifying the affinity of the carrier. The stimulating effect of JAK2 expression was abrogated by preincubation with the JAK2 inhibitor AG490. Chemiluminescence analysis revealed that JAK2 enhanced the carrier protein abundance in the cell membrane. The decline of Ig during inhibition of carrier insertion by brefeldin A was similar in the absence and presence of JAK2. Thus, JAK2 fosters insertion rather than inhibiting retrieval of carrier protein into the cell membrane. In conclusion, JAK2 upregulates SGLT1 activity which may play a role in the effect of JAK2 during ischemia and malignancy. \u00a9 2011 Elsevier Inc.", "author" : [ { "dropping-particle" : "", "family" : "Hosseinzadeh", "given" : "Zohreh", "non-dropping-particle" : "", "parse-names" : false, "suffix" : "" }, { "dropping-particle" : "", "family" : "Bhavsar", "given" : "Shefalee K.", "non-dropping-particle" : "", "parse-names" : false, "suffix" : "" }, { "dropping-particle" : "", "family" : "Shojaiefard", "given" : "Manzar", "non-dropping-particle" : "", "parse-names" : false, "suffix" : "" }, { "dropping-particle" : "", "family" : "Saxena", "given" : "Ambrish", "non-dropping-particle" : "", "parse-names" : false, "suffix" : "" }, { "dropping-particle" : "", "family" : "Merches", "given" : "Katja", "non-dropping-particle" : "", "parse-names" : false, "suffix" : "" }, { "dropping-particle" : "", "family" : "Sopjani", "given" : "Mentor", "non-dropping-particle" : "", "parse-names" : false, "suffix" : "" }, { "dropping-particle" : "", "family" : "Alesutan", "given" : "Ioana", "non-dropping-particle" : "", "parse-names" : false, "suffix" : "" }, { "dropping-particle" : "", "family" : "Lang", "given" : "Florian", "non-dropping-particle" : "", "parse-names" : false, "suffix" : "" } ], "container-title" : "Biochemical and Biophysical Research Communications", "id" : "ITEM-1", "issue" : "2", "issued" : { "date-parts" : [ [ "2011" ] ] }, "page" : "208-213", "publisher" : "Elsevier Inc.", "title" : "Stimulation of the glucose carrier SGLT1 by JAK2", "type" : "article-journal", "volume" : "408" }, "uris" : [ "http://www.mendeley.com/documents/?uuid=fac55ded-d322-4ed6-80d0-2ecd7a7467e0" ] } ], "mendeley" : { "formattedCitation" : "&lt;sup&gt;11&lt;/sup&gt;", "plainTextFormattedCitation" : "11", "previouslyFormattedCitation" : "&lt;sup&gt;11,12&lt;/sup&gt;" }, "properties" : { "noteIndex" : 0 }, "schema" : "https://github.com/citation-style-language/schema/raw/master/csl-citation.json" }</w:instrText>
      </w:r>
      <w:r>
        <w:rPr>
          <w:rFonts w:ascii="Times New Roman" w:hAnsi="Times New Roman" w:cs="Times New Roman"/>
          <w:sz w:val="24"/>
          <w:szCs w:val="24"/>
        </w:rPr>
        <w:fldChar w:fldCharType="separate"/>
      </w:r>
      <w:r w:rsidRPr="00C640FB">
        <w:rPr>
          <w:rFonts w:ascii="Times New Roman" w:hAnsi="Times New Roman" w:cs="Times New Roman"/>
          <w:noProof/>
          <w:sz w:val="24"/>
          <w:szCs w:val="24"/>
          <w:vertAlign w:val="superscript"/>
        </w:rPr>
        <w:t>11</w:t>
      </w:r>
      <w:r>
        <w:rPr>
          <w:rFonts w:ascii="Times New Roman" w:hAnsi="Times New Roman" w:cs="Times New Roman"/>
          <w:sz w:val="24"/>
          <w:szCs w:val="24"/>
        </w:rPr>
        <w:fldChar w:fldCharType="end"/>
      </w:r>
      <w:r w:rsidRPr="00B77043">
        <w:rPr>
          <w:rFonts w:ascii="Times New Roman" w:hAnsi="Times New Roman" w:cs="Times New Roman"/>
          <w:sz w:val="24"/>
          <w:szCs w:val="24"/>
        </w:rPr>
        <w:t>, which</w:t>
      </w:r>
      <w:r>
        <w:rPr>
          <w:rFonts w:ascii="Times New Roman" w:hAnsi="Times New Roman" w:cs="Times New Roman"/>
          <w:sz w:val="24"/>
          <w:szCs w:val="24"/>
        </w:rPr>
        <w:t xml:space="preserve"> </w:t>
      </w:r>
      <w:r w:rsidRPr="00B77043">
        <w:rPr>
          <w:rFonts w:ascii="Times New Roman" w:hAnsi="Times New Roman" w:cs="Times New Roman"/>
          <w:sz w:val="24"/>
          <w:szCs w:val="24"/>
        </w:rPr>
        <w:t>are of particular relevance to maintaining glucose homeostasis. However, the precise role of JAK2 in the regulation of</w:t>
      </w:r>
      <w:r>
        <w:rPr>
          <w:rFonts w:ascii="Times New Roman" w:hAnsi="Times New Roman" w:cs="Times New Roman"/>
          <w:sz w:val="24"/>
          <w:szCs w:val="24"/>
        </w:rPr>
        <w:t xml:space="preserve"> </w:t>
      </w:r>
      <w:r w:rsidRPr="00B77043">
        <w:rPr>
          <w:rFonts w:ascii="Times New Roman" w:hAnsi="Times New Roman" w:cs="Times New Roman"/>
          <w:sz w:val="24"/>
          <w:szCs w:val="24"/>
        </w:rPr>
        <w:t xml:space="preserve">inflammatory responses and glucose </w:t>
      </w:r>
      <w:r>
        <w:rPr>
          <w:rFonts w:ascii="Times New Roman" w:hAnsi="Times New Roman" w:cs="Times New Roman"/>
          <w:sz w:val="24"/>
          <w:szCs w:val="24"/>
        </w:rPr>
        <w:t xml:space="preserve">absorption </w:t>
      </w:r>
      <w:r w:rsidRPr="00B77043">
        <w:rPr>
          <w:rFonts w:ascii="Times New Roman" w:hAnsi="Times New Roman" w:cs="Times New Roman"/>
          <w:sz w:val="24"/>
          <w:szCs w:val="24"/>
        </w:rPr>
        <w:t>in the gut is not known and is the objective</w:t>
      </w:r>
      <w:r>
        <w:rPr>
          <w:rFonts w:ascii="Times New Roman" w:hAnsi="Times New Roman" w:cs="Times New Roman"/>
          <w:sz w:val="24"/>
          <w:szCs w:val="24"/>
        </w:rPr>
        <w:t xml:space="preserve"> </w:t>
      </w:r>
      <w:r w:rsidRPr="00B77043">
        <w:rPr>
          <w:rFonts w:ascii="Times New Roman" w:hAnsi="Times New Roman" w:cs="Times New Roman"/>
          <w:sz w:val="24"/>
          <w:szCs w:val="24"/>
        </w:rPr>
        <w:t>of our study.</w:t>
      </w:r>
      <w:r>
        <w:rPr>
          <w:rFonts w:ascii="Times New Roman" w:hAnsi="Times New Roman" w:cs="Times New Roman"/>
          <w:sz w:val="24"/>
          <w:szCs w:val="24"/>
        </w:rPr>
        <w:t xml:space="preserve"> </w:t>
      </w:r>
      <w:r w:rsidRPr="00B77043">
        <w:rPr>
          <w:rFonts w:ascii="Times New Roman" w:hAnsi="Times New Roman" w:cs="Times New Roman"/>
          <w:sz w:val="24"/>
          <w:szCs w:val="24"/>
        </w:rPr>
        <w:t xml:space="preserve">The aim is to take </w:t>
      </w:r>
      <w:r w:rsidRPr="00723E64">
        <w:rPr>
          <w:rFonts w:ascii="Times New Roman" w:hAnsi="Times New Roman" w:cs="Times New Roman"/>
          <w:i/>
          <w:sz w:val="24"/>
          <w:szCs w:val="24"/>
        </w:rPr>
        <w:t xml:space="preserve">in vivo </w:t>
      </w:r>
      <w:r>
        <w:rPr>
          <w:rFonts w:ascii="Times New Roman" w:hAnsi="Times New Roman" w:cs="Times New Roman"/>
          <w:sz w:val="24"/>
          <w:szCs w:val="24"/>
        </w:rPr>
        <w:t xml:space="preserve">and </w:t>
      </w:r>
      <w:r w:rsidRPr="00723E64">
        <w:rPr>
          <w:rFonts w:ascii="Times New Roman" w:hAnsi="Times New Roman" w:cs="Times New Roman"/>
          <w:i/>
          <w:sz w:val="24"/>
          <w:szCs w:val="24"/>
        </w:rPr>
        <w:t>in vitro</w:t>
      </w:r>
      <w:r>
        <w:rPr>
          <w:rFonts w:ascii="Times New Roman" w:hAnsi="Times New Roman" w:cs="Times New Roman"/>
          <w:i/>
          <w:sz w:val="24"/>
          <w:szCs w:val="24"/>
        </w:rPr>
        <w:t xml:space="preserve"> </w:t>
      </w:r>
      <w:r w:rsidRPr="00B77043">
        <w:rPr>
          <w:rFonts w:ascii="Times New Roman" w:hAnsi="Times New Roman" w:cs="Times New Roman"/>
          <w:sz w:val="24"/>
          <w:szCs w:val="24"/>
        </w:rPr>
        <w:t>approach</w:t>
      </w:r>
      <w:r>
        <w:rPr>
          <w:rFonts w:ascii="Times New Roman" w:hAnsi="Times New Roman" w:cs="Times New Roman"/>
          <w:sz w:val="24"/>
          <w:szCs w:val="24"/>
        </w:rPr>
        <w:t>es</w:t>
      </w:r>
      <w:r w:rsidRPr="00B77043">
        <w:rPr>
          <w:rFonts w:ascii="Times New Roman" w:hAnsi="Times New Roman" w:cs="Times New Roman"/>
          <w:sz w:val="24"/>
          <w:szCs w:val="24"/>
        </w:rPr>
        <w:t xml:space="preserve"> to elucidate the role of JAK2 in </w:t>
      </w:r>
      <w:r>
        <w:rPr>
          <w:rFonts w:ascii="Times New Roman" w:hAnsi="Times New Roman" w:cs="Times New Roman"/>
          <w:sz w:val="24"/>
          <w:szCs w:val="24"/>
        </w:rPr>
        <w:t xml:space="preserve">the </w:t>
      </w:r>
      <w:r w:rsidRPr="00B77043">
        <w:rPr>
          <w:rFonts w:ascii="Times New Roman" w:hAnsi="Times New Roman" w:cs="Times New Roman"/>
          <w:sz w:val="24"/>
          <w:szCs w:val="24"/>
        </w:rPr>
        <w:t>regulation of inflammation and</w:t>
      </w:r>
      <w:r>
        <w:rPr>
          <w:rFonts w:ascii="Times New Roman" w:hAnsi="Times New Roman" w:cs="Times New Roman"/>
          <w:sz w:val="24"/>
          <w:szCs w:val="24"/>
        </w:rPr>
        <w:t xml:space="preserve"> </w:t>
      </w:r>
      <w:r w:rsidRPr="00B77043">
        <w:rPr>
          <w:rFonts w:ascii="Times New Roman" w:hAnsi="Times New Roman" w:cs="Times New Roman"/>
          <w:sz w:val="24"/>
          <w:szCs w:val="24"/>
        </w:rPr>
        <w:t>glucose absorption in the intestine during the pathogenesis of insulin resistance and T2D.</w:t>
      </w:r>
    </w:p>
    <w:p w:rsidR="00253859" w:rsidRDefault="00253859" w:rsidP="007A6315">
      <w:pPr>
        <w:spacing w:line="360" w:lineRule="auto"/>
        <w:jc w:val="both"/>
      </w:pPr>
    </w:p>
    <w:sectPr w:rsidR="002538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7A6315"/>
    <w:rsid w:val="00253859"/>
    <w:rsid w:val="007A63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5191</Words>
  <Characters>29589</Characters>
  <Application>Microsoft Office Word</Application>
  <DocSecurity>0</DocSecurity>
  <Lines>246</Lines>
  <Paragraphs>69</Paragraphs>
  <ScaleCrop>false</ScaleCrop>
  <Company/>
  <LinksUpToDate>false</LinksUpToDate>
  <CharactersWithSpaces>34711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dc:creator>
  <cp:keywords/>
  <dc:description/>
  <cp:lastModifiedBy>Prashanth</cp:lastModifiedBy>
  <cp:revision>2</cp:revision>
  <dcterms:created xsi:type="dcterms:W3CDTF">2017-06-23T21:12:00Z</dcterms:created>
  <dcterms:modified xsi:type="dcterms:W3CDTF">2017-06-23T21:12:00Z</dcterms:modified>
</cp:coreProperties>
</file>