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9E1" w:rsidRPr="00321427" w:rsidRDefault="009139E1" w:rsidP="009139E1">
      <w:pPr>
        <w:spacing w:line="288" w:lineRule="auto"/>
        <w:jc w:val="center"/>
        <w:rPr>
          <w:rFonts w:ascii="Arial" w:eastAsia="MingLiU-ExtB" w:hAnsi="Arial" w:cs="Arial"/>
          <w:b/>
          <w:color w:val="0070C0"/>
          <w:sz w:val="36"/>
          <w:szCs w:val="36"/>
        </w:rPr>
      </w:pPr>
      <w:r w:rsidRPr="00321427">
        <w:rPr>
          <w:rFonts w:ascii="Arial" w:eastAsia="MingLiU-ExtB" w:hAnsi="Arial" w:cs="Arial"/>
          <w:b/>
          <w:color w:val="0070C0"/>
          <w:sz w:val="36"/>
          <w:szCs w:val="36"/>
        </w:rPr>
        <w:t>Resting-State Functional Connectivity in Untreated Overt Hyperthyroidism (Graves’ disease) with Mood Disorders</w:t>
      </w:r>
    </w:p>
    <w:p w:rsidR="00AE3E37" w:rsidRPr="00321427" w:rsidRDefault="00AE3E37" w:rsidP="004D2E11">
      <w:pPr>
        <w:pStyle w:val="BodyText"/>
        <w:jc w:val="both"/>
        <w:rPr>
          <w:rFonts w:cs="Arial"/>
        </w:rPr>
      </w:pPr>
    </w:p>
    <w:p w:rsidR="007720C7" w:rsidRPr="00321427" w:rsidRDefault="00321427" w:rsidP="007720C7">
      <w:pPr>
        <w:rPr>
          <w:rFonts w:ascii="Arial" w:hAnsi="Arial" w:cs="Arial"/>
          <w:color w:val="000000" w:themeColor="text1"/>
        </w:rPr>
      </w:pPr>
      <w:r w:rsidRPr="00321427">
        <w:rPr>
          <w:rFonts w:ascii="Arial" w:eastAsiaTheme="minorEastAsia" w:hAnsi="Arial" w:cs="Arial"/>
          <w:color w:val="000000" w:themeColor="text1"/>
          <w:lang w:eastAsia="zh-CN"/>
        </w:rPr>
        <w:t>TAHIR MEHMOOD SHAKIR</w:t>
      </w:r>
      <w:r w:rsidRPr="00321427">
        <w:rPr>
          <w:rFonts w:ascii="Arial" w:hAnsi="Arial" w:cs="Arial"/>
          <w:color w:val="000000" w:themeColor="text1"/>
        </w:rPr>
        <w:t>, MA SHAO HUI, MA XUE YING, ZHANG MING</w:t>
      </w:r>
    </w:p>
    <w:p w:rsidR="00AE3E37" w:rsidRPr="00321427" w:rsidRDefault="00AE3E37">
      <w:pPr>
        <w:pStyle w:val="BodyText"/>
        <w:spacing w:before="3"/>
        <w:rPr>
          <w:rFonts w:cs="Arial"/>
        </w:rPr>
      </w:pPr>
    </w:p>
    <w:p w:rsidR="00AE3E37" w:rsidRPr="00321427" w:rsidRDefault="00AE3E37">
      <w:pPr>
        <w:rPr>
          <w:rFonts w:cs="Arial"/>
          <w:sz w:val="18"/>
          <w:szCs w:val="18"/>
        </w:rPr>
        <w:sectPr w:rsidR="00AE3E37" w:rsidRPr="00321427">
          <w:headerReference w:type="default" r:id="rId7"/>
          <w:footerReference w:type="default" r:id="rId8"/>
          <w:type w:val="continuous"/>
          <w:pgSz w:w="11910" w:h="16840"/>
          <w:pgMar w:top="1740" w:right="600" w:bottom="840" w:left="620" w:header="541" w:footer="642" w:gutter="0"/>
          <w:cols w:space="720"/>
        </w:sectPr>
      </w:pPr>
    </w:p>
    <w:p w:rsidR="00AE3E37" w:rsidRPr="00321427" w:rsidRDefault="00A9710C" w:rsidP="000F5BD1">
      <w:pPr>
        <w:pStyle w:val="Heading3"/>
        <w:spacing w:before="147"/>
        <w:ind w:left="0"/>
        <w:jc w:val="both"/>
        <w:rPr>
          <w:rFonts w:ascii="Tw Cen MT" w:hAnsi="Tw Cen MT"/>
          <w:sz w:val="22"/>
          <w:szCs w:val="22"/>
        </w:rPr>
      </w:pPr>
      <w:r w:rsidRPr="00321427">
        <w:rPr>
          <w:rFonts w:ascii="Tw Cen MT" w:hAnsi="Tw Cen MT"/>
          <w:color w:val="BF5A14"/>
          <w:sz w:val="22"/>
          <w:szCs w:val="22"/>
        </w:rPr>
        <w:lastRenderedPageBreak/>
        <w:t>Abstract</w:t>
      </w:r>
      <w:r w:rsidR="00404E5B" w:rsidRPr="00321427">
        <w:rPr>
          <w:rFonts w:ascii="Tw Cen MT" w:hAnsi="Tw Cen MT"/>
          <w:color w:val="BF5A14"/>
          <w:sz w:val="22"/>
          <w:szCs w:val="22"/>
        </w:rPr>
        <w:t xml:space="preserve"> </w:t>
      </w:r>
    </w:p>
    <w:p w:rsidR="009139E1" w:rsidRPr="00321427" w:rsidRDefault="009139E1" w:rsidP="009139E1">
      <w:pPr>
        <w:jc w:val="both"/>
        <w:rPr>
          <w:rFonts w:cs="Arial"/>
          <w:sz w:val="18"/>
          <w:szCs w:val="18"/>
        </w:rPr>
      </w:pPr>
      <w:r w:rsidRPr="00321427">
        <w:rPr>
          <w:rFonts w:cs="Arial"/>
          <w:sz w:val="18"/>
          <w:szCs w:val="18"/>
        </w:rPr>
        <w:t>Objectives: patients with hyperthyroidism have neuropsychiatric problems such as lack of concentration, depression and anxiety. These symptoms are indication of brain dysfunction. However the process of brain dysfunction is unknown. At the same time, the</w:t>
      </w:r>
      <w:r w:rsidRPr="00321427">
        <w:rPr>
          <w:rFonts w:cs="Arial"/>
          <w:sz w:val="18"/>
          <w:szCs w:val="18"/>
          <w:lang w:eastAsia="zh-CN"/>
        </w:rPr>
        <w:t xml:space="preserve"> </w:t>
      </w:r>
      <w:r w:rsidRPr="00321427">
        <w:rPr>
          <w:rFonts w:cs="Arial"/>
          <w:sz w:val="18"/>
          <w:szCs w:val="18"/>
        </w:rPr>
        <w:t xml:space="preserve">functional magnetic resonance </w:t>
      </w:r>
      <w:r w:rsidRPr="00321427">
        <w:rPr>
          <w:rFonts w:cs="Arial"/>
          <w:sz w:val="18"/>
          <w:szCs w:val="18"/>
          <w:lang w:eastAsia="zh-CN"/>
        </w:rPr>
        <w:t>i</w:t>
      </w:r>
      <w:r w:rsidRPr="00321427">
        <w:rPr>
          <w:rFonts w:cs="Arial"/>
          <w:sz w:val="18"/>
          <w:szCs w:val="18"/>
        </w:rPr>
        <w:t>maging</w:t>
      </w:r>
      <w:r w:rsidRPr="00321427">
        <w:rPr>
          <w:rFonts w:cs="Arial"/>
          <w:sz w:val="18"/>
          <w:szCs w:val="18"/>
          <w:lang w:eastAsia="zh-CN"/>
        </w:rPr>
        <w:t xml:space="preserve"> (</w:t>
      </w:r>
      <w:proofErr w:type="spellStart"/>
      <w:r w:rsidRPr="00321427">
        <w:rPr>
          <w:rFonts w:cs="Arial"/>
          <w:sz w:val="18"/>
          <w:szCs w:val="18"/>
          <w:lang w:eastAsia="zh-CN"/>
        </w:rPr>
        <w:t>fMRI</w:t>
      </w:r>
      <w:proofErr w:type="spellEnd"/>
      <w:r w:rsidRPr="00321427">
        <w:rPr>
          <w:rFonts w:cs="Arial"/>
          <w:sz w:val="18"/>
          <w:szCs w:val="18"/>
          <w:lang w:eastAsia="zh-CN"/>
        </w:rPr>
        <w:t>)</w:t>
      </w:r>
      <w:r w:rsidRPr="00321427">
        <w:rPr>
          <w:rFonts w:cs="Arial"/>
          <w:sz w:val="18"/>
          <w:szCs w:val="18"/>
        </w:rPr>
        <w:t xml:space="preserve"> is important technique to assess the brain function. This study is to understand the functions of brain using </w:t>
      </w:r>
      <w:proofErr w:type="spellStart"/>
      <w:r w:rsidRPr="00321427">
        <w:rPr>
          <w:rFonts w:cs="Arial"/>
          <w:sz w:val="18"/>
          <w:szCs w:val="18"/>
        </w:rPr>
        <w:t>fMRI</w:t>
      </w:r>
      <w:proofErr w:type="spellEnd"/>
      <w:r w:rsidRPr="00321427">
        <w:rPr>
          <w:rFonts w:cs="Arial"/>
          <w:sz w:val="18"/>
          <w:szCs w:val="18"/>
        </w:rPr>
        <w:t xml:space="preserve"> in hyperthyroid patients.</w:t>
      </w:r>
    </w:p>
    <w:p w:rsidR="009139E1" w:rsidRPr="00321427" w:rsidRDefault="009139E1" w:rsidP="009139E1">
      <w:pPr>
        <w:spacing w:line="288" w:lineRule="auto"/>
        <w:jc w:val="both"/>
        <w:rPr>
          <w:rFonts w:eastAsiaTheme="minorEastAsia" w:cs="Arial"/>
          <w:sz w:val="18"/>
          <w:szCs w:val="18"/>
          <w:lang w:eastAsia="zh-CN"/>
        </w:rPr>
      </w:pPr>
      <w:r w:rsidRPr="00321427">
        <w:rPr>
          <w:rFonts w:cs="Arial"/>
          <w:sz w:val="18"/>
          <w:szCs w:val="18"/>
        </w:rPr>
        <w:t>M</w:t>
      </w:r>
      <w:r w:rsidRPr="00321427">
        <w:rPr>
          <w:rFonts w:cs="Arial"/>
          <w:sz w:val="18"/>
          <w:szCs w:val="18"/>
          <w:lang w:eastAsia="zh-CN"/>
        </w:rPr>
        <w:t>ethods:</w:t>
      </w:r>
      <w:r w:rsidRPr="00321427">
        <w:rPr>
          <w:rFonts w:cs="Arial"/>
          <w:sz w:val="18"/>
          <w:szCs w:val="18"/>
        </w:rPr>
        <w:t xml:space="preserve"> This study included 15 consecutively referred, newly diagnosed and untreated patients with hyperthyroidism. In addition, 20 healthy age and gender matched control subjects were included. Anxiety was assessed by the </w:t>
      </w:r>
      <w:proofErr w:type="spellStart"/>
      <w:r w:rsidRPr="00321427">
        <w:rPr>
          <w:rFonts w:cs="Arial"/>
          <w:sz w:val="18"/>
          <w:szCs w:val="18"/>
        </w:rPr>
        <w:t>Zung</w:t>
      </w:r>
      <w:proofErr w:type="spellEnd"/>
      <w:r w:rsidRPr="00321427">
        <w:rPr>
          <w:rFonts w:cs="Arial"/>
          <w:sz w:val="18"/>
          <w:szCs w:val="18"/>
        </w:rPr>
        <w:t xml:space="preserve"> SAS, and </w:t>
      </w:r>
      <w:proofErr w:type="spellStart"/>
      <w:r w:rsidRPr="00321427">
        <w:rPr>
          <w:rFonts w:cs="Arial"/>
          <w:sz w:val="18"/>
          <w:szCs w:val="18"/>
        </w:rPr>
        <w:t>Zung</w:t>
      </w:r>
      <w:proofErr w:type="spellEnd"/>
      <w:r w:rsidRPr="00321427">
        <w:rPr>
          <w:rFonts w:cs="Arial"/>
          <w:sz w:val="18"/>
          <w:szCs w:val="18"/>
        </w:rPr>
        <w:t xml:space="preserve"> SDS was used to measure the depression. Image preprocessing was carried out using SPM8 and </w:t>
      </w:r>
      <w:proofErr w:type="spellStart"/>
      <w:r w:rsidRPr="00321427">
        <w:rPr>
          <w:rFonts w:cs="Arial"/>
          <w:sz w:val="18"/>
          <w:szCs w:val="18"/>
        </w:rPr>
        <w:t>Metlab</w:t>
      </w:r>
      <w:proofErr w:type="spellEnd"/>
      <w:r w:rsidRPr="00321427">
        <w:rPr>
          <w:rFonts w:cs="Arial"/>
          <w:sz w:val="18"/>
          <w:szCs w:val="18"/>
        </w:rPr>
        <w:t xml:space="preserve">. Amplitude of low-frequency fluctuations (ALFF) analyses were performed using REST V1.7 software. For Regions of interest (ROI)-based fear condition (FC) analysis, a seed reference time course was obtained for each ROI by averaging the time series of all </w:t>
      </w:r>
      <w:proofErr w:type="spellStart"/>
      <w:r w:rsidRPr="00321427">
        <w:rPr>
          <w:rFonts w:cs="Arial"/>
          <w:sz w:val="18"/>
          <w:szCs w:val="18"/>
        </w:rPr>
        <w:t>voxels</w:t>
      </w:r>
      <w:proofErr w:type="spellEnd"/>
      <w:r w:rsidRPr="00321427">
        <w:rPr>
          <w:rFonts w:cs="Arial"/>
          <w:sz w:val="18"/>
          <w:szCs w:val="18"/>
        </w:rPr>
        <w:t xml:space="preserve"> in the ROI. </w:t>
      </w:r>
    </w:p>
    <w:p w:rsidR="009139E1" w:rsidRPr="00321427" w:rsidRDefault="009139E1" w:rsidP="009139E1">
      <w:pPr>
        <w:spacing w:line="288" w:lineRule="auto"/>
        <w:jc w:val="both"/>
        <w:rPr>
          <w:rFonts w:cs="Arial"/>
          <w:sz w:val="18"/>
          <w:szCs w:val="18"/>
          <w:lang w:eastAsia="zh-CN"/>
        </w:rPr>
      </w:pPr>
      <w:r w:rsidRPr="00321427">
        <w:rPr>
          <w:rFonts w:cs="Arial"/>
          <w:sz w:val="18"/>
          <w:szCs w:val="18"/>
        </w:rPr>
        <w:t xml:space="preserve">Results: Results of the two-sample </w:t>
      </w:r>
      <w:r w:rsidRPr="00321427">
        <w:rPr>
          <w:rFonts w:cs="Arial"/>
          <w:i/>
          <w:sz w:val="18"/>
          <w:szCs w:val="18"/>
        </w:rPr>
        <w:t>t</w:t>
      </w:r>
      <w:r w:rsidRPr="00321427">
        <w:rPr>
          <w:rFonts w:cs="Arial"/>
          <w:sz w:val="18"/>
          <w:szCs w:val="18"/>
        </w:rPr>
        <w:t>-test showed significant ALFF differences between patients with hyperthyroidism and healthy controls (</w:t>
      </w:r>
      <w:r w:rsidRPr="00321427">
        <w:rPr>
          <w:rFonts w:cs="Arial"/>
          <w:i/>
          <w:sz w:val="18"/>
          <w:szCs w:val="18"/>
        </w:rPr>
        <w:t xml:space="preserve">P </w:t>
      </w:r>
      <w:r w:rsidRPr="00321427">
        <w:rPr>
          <w:rFonts w:cs="Arial"/>
          <w:sz w:val="18"/>
          <w:szCs w:val="18"/>
        </w:rPr>
        <w:t xml:space="preserve">&lt; 0.05). Areas showing decreased ALFF values in the patients group included the posterior cingulated </w:t>
      </w:r>
      <w:proofErr w:type="spellStart"/>
      <w:r w:rsidRPr="00321427">
        <w:rPr>
          <w:rFonts w:cs="Arial"/>
          <w:sz w:val="18"/>
          <w:szCs w:val="18"/>
        </w:rPr>
        <w:t>gyrus</w:t>
      </w:r>
      <w:proofErr w:type="spellEnd"/>
      <w:r w:rsidRPr="00321427">
        <w:rPr>
          <w:rFonts w:cs="Arial"/>
          <w:sz w:val="18"/>
          <w:szCs w:val="18"/>
        </w:rPr>
        <w:t xml:space="preserve"> and bilateral inferior parietal </w:t>
      </w:r>
      <w:proofErr w:type="spellStart"/>
      <w:r w:rsidRPr="00321427">
        <w:rPr>
          <w:rFonts w:cs="Arial"/>
          <w:sz w:val="18"/>
          <w:szCs w:val="18"/>
        </w:rPr>
        <w:t>gyrus</w:t>
      </w:r>
      <w:proofErr w:type="spellEnd"/>
      <w:r w:rsidRPr="00321427">
        <w:rPr>
          <w:rFonts w:cs="Arial"/>
          <w:sz w:val="18"/>
          <w:szCs w:val="18"/>
        </w:rPr>
        <w:t xml:space="preserve">; and increased ALFF values in the right thalamus and bilateral </w:t>
      </w:r>
      <w:proofErr w:type="spellStart"/>
      <w:r w:rsidRPr="00321427">
        <w:rPr>
          <w:rFonts w:cs="Arial"/>
          <w:sz w:val="18"/>
          <w:szCs w:val="18"/>
        </w:rPr>
        <w:t>cuneus</w:t>
      </w:r>
      <w:proofErr w:type="spellEnd"/>
      <w:r w:rsidRPr="00321427">
        <w:rPr>
          <w:rFonts w:cs="Arial"/>
          <w:sz w:val="18"/>
          <w:szCs w:val="18"/>
        </w:rPr>
        <w:t xml:space="preserve">. Furthermore, correlation analysis demonstrated that there was a significant negative correlation between ALFF values of the left inferior parietal </w:t>
      </w:r>
      <w:proofErr w:type="spellStart"/>
      <w:r w:rsidRPr="00321427">
        <w:rPr>
          <w:rFonts w:cs="Arial"/>
          <w:sz w:val="18"/>
          <w:szCs w:val="18"/>
        </w:rPr>
        <w:t>gyrus</w:t>
      </w:r>
      <w:proofErr w:type="spellEnd"/>
      <w:r w:rsidRPr="00321427">
        <w:rPr>
          <w:rFonts w:cs="Arial"/>
          <w:sz w:val="18"/>
          <w:szCs w:val="18"/>
        </w:rPr>
        <w:t xml:space="preserve"> (</w:t>
      </w:r>
      <w:r w:rsidRPr="00321427">
        <w:rPr>
          <w:rFonts w:cs="Arial"/>
          <w:i/>
          <w:sz w:val="18"/>
          <w:szCs w:val="18"/>
        </w:rPr>
        <w:t>P</w:t>
      </w:r>
      <w:r w:rsidRPr="00321427">
        <w:rPr>
          <w:rFonts w:cs="Arial"/>
          <w:sz w:val="18"/>
          <w:szCs w:val="18"/>
        </w:rPr>
        <w:t xml:space="preserve"> = 0.0021) and the anxiety score in ASA, and a significant negative correlation between ALFF values of the left posterior cingulated </w:t>
      </w:r>
      <w:proofErr w:type="spellStart"/>
      <w:r w:rsidRPr="00321427">
        <w:rPr>
          <w:rFonts w:cs="Arial"/>
          <w:sz w:val="18"/>
          <w:szCs w:val="18"/>
        </w:rPr>
        <w:t>gyrus</w:t>
      </w:r>
      <w:proofErr w:type="spellEnd"/>
      <w:r w:rsidRPr="00321427">
        <w:rPr>
          <w:rFonts w:cs="Arial"/>
          <w:sz w:val="18"/>
          <w:szCs w:val="18"/>
        </w:rPr>
        <w:t xml:space="preserve"> (</w:t>
      </w:r>
      <w:r w:rsidRPr="00321427">
        <w:rPr>
          <w:rFonts w:cs="Arial"/>
          <w:i/>
          <w:sz w:val="18"/>
          <w:szCs w:val="18"/>
        </w:rPr>
        <w:t>P</w:t>
      </w:r>
      <w:r w:rsidRPr="00321427">
        <w:rPr>
          <w:rFonts w:cs="Arial"/>
          <w:sz w:val="18"/>
          <w:szCs w:val="18"/>
        </w:rPr>
        <w:t xml:space="preserve"> = 0.0437). ROI-based FC analysis revealed increased FCs between the left inferior parietal </w:t>
      </w:r>
      <w:proofErr w:type="spellStart"/>
      <w:r w:rsidRPr="00321427">
        <w:rPr>
          <w:rFonts w:cs="Arial"/>
          <w:sz w:val="18"/>
          <w:szCs w:val="18"/>
        </w:rPr>
        <w:t>gyrus</w:t>
      </w:r>
      <w:proofErr w:type="spellEnd"/>
      <w:r w:rsidRPr="00321427">
        <w:rPr>
          <w:rFonts w:cs="Arial"/>
          <w:sz w:val="18"/>
          <w:szCs w:val="18"/>
        </w:rPr>
        <w:t xml:space="preserve"> and left </w:t>
      </w:r>
      <w:proofErr w:type="spellStart"/>
      <w:r w:rsidRPr="00321427">
        <w:rPr>
          <w:rFonts w:cs="Arial"/>
          <w:sz w:val="18"/>
          <w:szCs w:val="18"/>
        </w:rPr>
        <w:t>rostral</w:t>
      </w:r>
      <w:proofErr w:type="spellEnd"/>
      <w:r w:rsidRPr="00321427">
        <w:rPr>
          <w:rFonts w:cs="Arial"/>
          <w:sz w:val="18"/>
          <w:szCs w:val="18"/>
        </w:rPr>
        <w:t xml:space="preserve"> anterior </w:t>
      </w:r>
      <w:proofErr w:type="spellStart"/>
      <w:r w:rsidRPr="00321427">
        <w:rPr>
          <w:rFonts w:cs="Arial"/>
          <w:sz w:val="18"/>
          <w:szCs w:val="18"/>
        </w:rPr>
        <w:t>cingulate</w:t>
      </w:r>
      <w:proofErr w:type="spellEnd"/>
      <w:r w:rsidRPr="00321427">
        <w:rPr>
          <w:rFonts w:cs="Arial"/>
          <w:sz w:val="18"/>
          <w:szCs w:val="18"/>
        </w:rPr>
        <w:t xml:space="preserve"> cortex and bilateral frontal lobe; left posterior cingulated </w:t>
      </w:r>
      <w:proofErr w:type="spellStart"/>
      <w:r w:rsidRPr="00321427">
        <w:rPr>
          <w:rFonts w:cs="Arial"/>
          <w:sz w:val="18"/>
          <w:szCs w:val="18"/>
        </w:rPr>
        <w:t>gyrus</w:t>
      </w:r>
      <w:proofErr w:type="spellEnd"/>
      <w:r w:rsidRPr="00321427">
        <w:rPr>
          <w:rFonts w:cs="Arial"/>
          <w:sz w:val="18"/>
          <w:szCs w:val="18"/>
        </w:rPr>
        <w:t xml:space="preserve"> and bilateral left temporal lobe. </w:t>
      </w:r>
    </w:p>
    <w:p w:rsidR="009139E1" w:rsidRPr="00321427" w:rsidRDefault="009139E1" w:rsidP="009139E1">
      <w:pPr>
        <w:spacing w:line="288" w:lineRule="auto"/>
        <w:jc w:val="both"/>
        <w:rPr>
          <w:rFonts w:cs="Arial"/>
          <w:sz w:val="18"/>
          <w:szCs w:val="18"/>
          <w:lang w:eastAsia="zh-CN"/>
        </w:rPr>
      </w:pPr>
      <w:bookmarkStart w:id="0" w:name="_GoBack"/>
      <w:r w:rsidRPr="00321427">
        <w:rPr>
          <w:rFonts w:cs="Arial"/>
          <w:sz w:val="18"/>
          <w:szCs w:val="18"/>
        </w:rPr>
        <w:t xml:space="preserve">Conclusion: </w:t>
      </w:r>
      <w:r w:rsidRPr="00321427">
        <w:rPr>
          <w:rFonts w:cs="Arial"/>
          <w:sz w:val="18"/>
          <w:szCs w:val="18"/>
          <w:lang w:eastAsia="zh-CN"/>
        </w:rPr>
        <w:t xml:space="preserve">Our study </w:t>
      </w:r>
      <w:proofErr w:type="spellStart"/>
      <w:r w:rsidRPr="00321427">
        <w:rPr>
          <w:rFonts w:cs="Arial"/>
          <w:sz w:val="18"/>
          <w:szCs w:val="18"/>
          <w:lang w:eastAsia="zh-CN"/>
        </w:rPr>
        <w:t>demostrated</w:t>
      </w:r>
      <w:proofErr w:type="spellEnd"/>
      <w:r w:rsidRPr="00321427">
        <w:rPr>
          <w:rFonts w:cs="Arial"/>
          <w:sz w:val="18"/>
          <w:szCs w:val="18"/>
          <w:lang w:eastAsia="zh-CN"/>
        </w:rPr>
        <w:t xml:space="preserve"> that brain </w:t>
      </w:r>
      <w:proofErr w:type="spellStart"/>
      <w:r w:rsidRPr="00321427">
        <w:rPr>
          <w:rFonts w:cs="Arial"/>
          <w:sz w:val="18"/>
          <w:szCs w:val="18"/>
          <w:lang w:eastAsia="zh-CN"/>
        </w:rPr>
        <w:t>dyfunction</w:t>
      </w:r>
      <w:proofErr w:type="spellEnd"/>
      <w:r w:rsidRPr="00321427">
        <w:rPr>
          <w:rFonts w:cs="Arial"/>
          <w:sz w:val="18"/>
          <w:szCs w:val="18"/>
          <w:lang w:eastAsia="zh-CN"/>
        </w:rPr>
        <w:t xml:space="preserve"> existed in patients with </w:t>
      </w:r>
      <w:r w:rsidRPr="00321427">
        <w:rPr>
          <w:rFonts w:cs="Arial"/>
          <w:sz w:val="18"/>
          <w:szCs w:val="18"/>
        </w:rPr>
        <w:t>hyperthyroidism</w:t>
      </w:r>
      <w:r w:rsidRPr="00321427">
        <w:rPr>
          <w:rFonts w:cs="Arial"/>
          <w:sz w:val="18"/>
          <w:szCs w:val="18"/>
          <w:lang w:eastAsia="zh-CN"/>
        </w:rPr>
        <w:t xml:space="preserve"> and were associated with </w:t>
      </w:r>
      <w:r w:rsidRPr="00321427">
        <w:rPr>
          <w:rFonts w:cs="Arial"/>
          <w:sz w:val="18"/>
          <w:szCs w:val="18"/>
        </w:rPr>
        <w:t>neuropsychiatric</w:t>
      </w:r>
      <w:r w:rsidRPr="00321427">
        <w:rPr>
          <w:rFonts w:cs="Arial"/>
          <w:sz w:val="18"/>
          <w:szCs w:val="18"/>
          <w:lang w:eastAsia="zh-CN"/>
        </w:rPr>
        <w:t xml:space="preserve"> </w:t>
      </w:r>
      <w:r w:rsidRPr="00321427">
        <w:rPr>
          <w:rFonts w:cs="Arial"/>
          <w:sz w:val="18"/>
          <w:szCs w:val="18"/>
        </w:rPr>
        <w:t>signs and symptoms</w:t>
      </w:r>
      <w:r w:rsidRPr="00321427">
        <w:rPr>
          <w:rFonts w:cs="Arial"/>
          <w:sz w:val="18"/>
          <w:szCs w:val="18"/>
          <w:lang w:eastAsia="zh-CN"/>
        </w:rPr>
        <w:t>.</w:t>
      </w:r>
    </w:p>
    <w:p w:rsidR="009139E1" w:rsidRPr="00321427" w:rsidRDefault="009139E1" w:rsidP="009139E1">
      <w:pPr>
        <w:spacing w:line="288" w:lineRule="auto"/>
        <w:jc w:val="both"/>
        <w:rPr>
          <w:rFonts w:cs="Arial"/>
          <w:sz w:val="18"/>
          <w:szCs w:val="18"/>
          <w:lang w:eastAsia="zh-CN"/>
        </w:rPr>
      </w:pPr>
      <w:r w:rsidRPr="00321427">
        <w:rPr>
          <w:rFonts w:cs="Arial"/>
          <w:sz w:val="18"/>
          <w:szCs w:val="18"/>
          <w:lang w:eastAsia="zh-CN"/>
        </w:rPr>
        <w:t xml:space="preserve">Clinical relevance: </w:t>
      </w:r>
      <w:bookmarkEnd w:id="0"/>
    </w:p>
    <w:p w:rsidR="009139E1" w:rsidRPr="00321427" w:rsidRDefault="009139E1" w:rsidP="009139E1">
      <w:pPr>
        <w:spacing w:line="288" w:lineRule="auto"/>
        <w:jc w:val="both"/>
        <w:rPr>
          <w:rFonts w:cs="Arial"/>
          <w:sz w:val="18"/>
          <w:szCs w:val="18"/>
          <w:lang w:eastAsia="zh-CN"/>
        </w:rPr>
      </w:pPr>
      <w:r w:rsidRPr="00321427">
        <w:rPr>
          <w:rFonts w:cs="Arial"/>
          <w:sz w:val="18"/>
          <w:szCs w:val="18"/>
        </w:rPr>
        <w:t xml:space="preserve">Hyperthyroidism necessitates </w:t>
      </w:r>
      <w:proofErr w:type="spellStart"/>
      <w:r w:rsidRPr="00321427">
        <w:rPr>
          <w:rFonts w:cs="Arial"/>
          <w:sz w:val="18"/>
          <w:szCs w:val="18"/>
        </w:rPr>
        <w:t>fMRI</w:t>
      </w:r>
      <w:proofErr w:type="spellEnd"/>
      <w:r w:rsidRPr="00321427">
        <w:rPr>
          <w:rFonts w:cs="Arial"/>
          <w:sz w:val="18"/>
          <w:szCs w:val="18"/>
        </w:rPr>
        <w:t xml:space="preserve"> imaging to be done. Moreover, </w:t>
      </w:r>
      <w:proofErr w:type="spellStart"/>
      <w:r w:rsidRPr="00321427">
        <w:rPr>
          <w:rFonts w:cs="Arial"/>
          <w:sz w:val="18"/>
          <w:szCs w:val="18"/>
        </w:rPr>
        <w:t>fMRI</w:t>
      </w:r>
      <w:proofErr w:type="spellEnd"/>
      <w:r w:rsidRPr="00321427">
        <w:rPr>
          <w:rFonts w:cs="Arial"/>
          <w:sz w:val="18"/>
          <w:szCs w:val="18"/>
        </w:rPr>
        <w:t xml:space="preserve"> brain should be advised to the hyperthyroid patients with neuromuscular signs and symptoms, and who do not respond to conventional treatment otherwise. </w:t>
      </w:r>
    </w:p>
    <w:p w:rsidR="009139E1" w:rsidRPr="00321427" w:rsidRDefault="009139E1" w:rsidP="009139E1">
      <w:pPr>
        <w:spacing w:line="288" w:lineRule="auto"/>
        <w:jc w:val="both"/>
        <w:rPr>
          <w:rFonts w:cs="Arial"/>
          <w:sz w:val="18"/>
          <w:szCs w:val="18"/>
          <w:lang w:eastAsia="zh-CN"/>
        </w:rPr>
      </w:pPr>
      <w:r w:rsidRPr="00321427">
        <w:rPr>
          <w:rFonts w:cs="Arial"/>
          <w:b/>
          <w:sz w:val="18"/>
          <w:szCs w:val="18"/>
        </w:rPr>
        <w:t>KEY WORDS</w:t>
      </w:r>
      <w:r w:rsidRPr="00321427">
        <w:rPr>
          <w:rFonts w:cs="Arial"/>
          <w:b/>
          <w:sz w:val="18"/>
          <w:szCs w:val="18"/>
          <w:lang w:eastAsia="zh-CN"/>
        </w:rPr>
        <w:t>：</w:t>
      </w:r>
      <w:r w:rsidRPr="00321427">
        <w:rPr>
          <w:rFonts w:cs="Arial"/>
          <w:sz w:val="18"/>
          <w:szCs w:val="18"/>
        </w:rPr>
        <w:t>Magnetic Resonance Imaging, Resting State Functional MRI, Blood Oxygen Level-dependent (BOLD)</w:t>
      </w:r>
      <w:r w:rsidRPr="00321427">
        <w:rPr>
          <w:rFonts w:eastAsia="宋体" w:cs="Arial"/>
          <w:sz w:val="18"/>
          <w:szCs w:val="18"/>
          <w:lang w:eastAsia="zh-CN"/>
        </w:rPr>
        <w:t>,</w:t>
      </w:r>
      <w:r w:rsidRPr="00321427">
        <w:rPr>
          <w:rFonts w:cs="Arial"/>
          <w:sz w:val="18"/>
          <w:szCs w:val="18"/>
        </w:rPr>
        <w:t xml:space="preserve"> Hyperthyroidism</w:t>
      </w:r>
      <w:r w:rsidRPr="00321427">
        <w:rPr>
          <w:rFonts w:eastAsia="宋体" w:cs="Arial"/>
          <w:sz w:val="18"/>
          <w:szCs w:val="18"/>
          <w:lang w:eastAsia="zh-CN"/>
        </w:rPr>
        <w:t>,</w:t>
      </w:r>
      <w:r w:rsidRPr="00321427">
        <w:rPr>
          <w:rFonts w:cs="Arial"/>
          <w:sz w:val="18"/>
          <w:szCs w:val="18"/>
        </w:rPr>
        <w:t xml:space="preserve"> Mood Disorders</w:t>
      </w:r>
    </w:p>
    <w:p w:rsidR="009139E1" w:rsidRPr="00321427" w:rsidRDefault="009139E1" w:rsidP="009139E1">
      <w:pPr>
        <w:spacing w:line="288" w:lineRule="auto"/>
        <w:jc w:val="both"/>
        <w:rPr>
          <w:rFonts w:cs="Arial"/>
          <w:sz w:val="18"/>
          <w:szCs w:val="18"/>
          <w:lang w:eastAsia="zh-CN"/>
        </w:rPr>
      </w:pPr>
    </w:p>
    <w:p w:rsidR="00A05A57" w:rsidRPr="00321427" w:rsidRDefault="00A9710C" w:rsidP="00A05A57">
      <w:pPr>
        <w:rPr>
          <w:rFonts w:cs="Arial"/>
          <w:sz w:val="18"/>
          <w:szCs w:val="18"/>
        </w:rPr>
      </w:pPr>
      <w:r w:rsidRPr="00321427">
        <w:rPr>
          <w:rFonts w:cs="Arial"/>
          <w:sz w:val="18"/>
          <w:szCs w:val="18"/>
        </w:rPr>
        <w:br w:type="column"/>
      </w:r>
    </w:p>
    <w:p w:rsidR="00A05A57" w:rsidRPr="00321427" w:rsidRDefault="005973B9" w:rsidP="00A05A57">
      <w:pPr>
        <w:rPr>
          <w:rFonts w:cs="Arial"/>
          <w:b/>
          <w:color w:val="BF5A14"/>
        </w:rPr>
      </w:pPr>
      <w:r w:rsidRPr="00321427">
        <w:rPr>
          <w:rFonts w:cs="Arial"/>
          <w:b/>
          <w:color w:val="BF5A14"/>
        </w:rPr>
        <w:t xml:space="preserve"> </w:t>
      </w:r>
      <w:r w:rsidR="00A05A57" w:rsidRPr="00321427">
        <w:rPr>
          <w:rFonts w:cs="Arial"/>
          <w:b/>
          <w:color w:val="BF5A14"/>
        </w:rPr>
        <w:t>Figure</w:t>
      </w:r>
    </w:p>
    <w:p w:rsidR="00A05A57" w:rsidRPr="00321427" w:rsidRDefault="00A05A57" w:rsidP="00A05A57">
      <w:pPr>
        <w:rPr>
          <w:rFonts w:cs="Arial"/>
          <w:b/>
          <w:color w:val="BF5A14"/>
          <w:sz w:val="18"/>
          <w:szCs w:val="18"/>
        </w:rPr>
      </w:pPr>
    </w:p>
    <w:p w:rsidR="00AE3E37" w:rsidRPr="00321427" w:rsidRDefault="009139E1" w:rsidP="00A05A57">
      <w:pPr>
        <w:jc w:val="center"/>
        <w:rPr>
          <w:rFonts w:cs="Arial"/>
          <w:b/>
          <w:sz w:val="18"/>
          <w:szCs w:val="18"/>
        </w:rPr>
      </w:pPr>
      <w:r w:rsidRPr="00321427">
        <w:rPr>
          <w:rFonts w:cs="Arial"/>
          <w:b/>
          <w:noProof/>
          <w:sz w:val="18"/>
          <w:szCs w:val="18"/>
          <w:lang w:eastAsia="zh-CN"/>
        </w:rPr>
        <w:drawing>
          <wp:inline distT="0" distB="0" distL="0" distR="0">
            <wp:extent cx="3003670" cy="1573823"/>
            <wp:effectExtent l="19050" t="0" r="6230" b="0"/>
            <wp:docPr id="3" name="Picture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片1"/>
                    <pic:cNvPicPr>
                      <a:picLocks noChangeAspect="1" noChangeArrowheads="1"/>
                    </pic:cNvPicPr>
                  </pic:nvPicPr>
                  <pic:blipFill>
                    <a:blip r:embed="rId9" cstate="print"/>
                    <a:srcRect/>
                    <a:stretch>
                      <a:fillRect/>
                    </a:stretch>
                  </pic:blipFill>
                  <pic:spPr bwMode="auto">
                    <a:xfrm>
                      <a:off x="0" y="0"/>
                      <a:ext cx="3007128" cy="1575635"/>
                    </a:xfrm>
                    <a:prstGeom prst="rect">
                      <a:avLst/>
                    </a:prstGeom>
                    <a:noFill/>
                    <a:ln w="9525">
                      <a:noFill/>
                      <a:miter lim="800000"/>
                      <a:headEnd/>
                      <a:tailEnd/>
                    </a:ln>
                  </pic:spPr>
                </pic:pic>
              </a:graphicData>
            </a:graphic>
          </wp:inline>
        </w:drawing>
      </w:r>
    </w:p>
    <w:p w:rsidR="00A05A57" w:rsidRPr="00321427" w:rsidRDefault="00A05A57" w:rsidP="00D272E6">
      <w:pPr>
        <w:spacing w:beforeLines="100" w:afterLines="50"/>
        <w:jc w:val="center"/>
        <w:rPr>
          <w:rFonts w:eastAsiaTheme="minorEastAsia" w:cs="Arial"/>
          <w:sz w:val="18"/>
          <w:szCs w:val="18"/>
          <w:lang w:eastAsia="zh-CN"/>
        </w:rPr>
      </w:pPr>
      <w:r w:rsidRPr="00321427">
        <w:rPr>
          <w:rFonts w:cs="Arial"/>
          <w:bCs/>
          <w:sz w:val="18"/>
          <w:szCs w:val="18"/>
        </w:rPr>
        <w:t>Figure</w:t>
      </w:r>
      <w:r w:rsidR="009139E1" w:rsidRPr="00321427">
        <w:rPr>
          <w:rFonts w:eastAsiaTheme="minorEastAsia" w:cs="Arial"/>
          <w:bCs/>
          <w:sz w:val="18"/>
          <w:szCs w:val="18"/>
          <w:lang w:eastAsia="zh-CN"/>
        </w:rPr>
        <w:t xml:space="preserve"> 1</w:t>
      </w:r>
      <w:r w:rsidR="009139E1" w:rsidRPr="00321427">
        <w:rPr>
          <w:rFonts w:eastAsiaTheme="minorEastAsia" w:cs="Arial"/>
          <w:bCs/>
          <w:sz w:val="18"/>
          <w:szCs w:val="18"/>
          <w:lang w:eastAsia="zh-CN"/>
        </w:rPr>
        <w:t>：</w:t>
      </w:r>
      <w:r w:rsidR="009139E1" w:rsidRPr="00321427">
        <w:rPr>
          <w:rFonts w:cs="Arial"/>
          <w:sz w:val="18"/>
          <w:szCs w:val="18"/>
        </w:rPr>
        <w:t xml:space="preserve">Group differences in ALFF values </w:t>
      </w:r>
    </w:p>
    <w:p w:rsidR="00A05A57" w:rsidRPr="00321427" w:rsidRDefault="00D619FB" w:rsidP="00A05A57">
      <w:pPr>
        <w:rPr>
          <w:rFonts w:cs="Arial"/>
          <w:b/>
          <w:color w:val="00B050"/>
        </w:rPr>
      </w:pPr>
      <w:r w:rsidRPr="00321427">
        <w:rPr>
          <w:rFonts w:cs="Arial"/>
          <w:b/>
          <w:color w:val="BF5A14"/>
        </w:rPr>
        <w:t>References</w:t>
      </w:r>
    </w:p>
    <w:p w:rsidR="00471B28" w:rsidRPr="00321427" w:rsidRDefault="00471B28" w:rsidP="00A05A57">
      <w:pPr>
        <w:rPr>
          <w:rFonts w:cs="Arial"/>
          <w:b/>
          <w:color w:val="00B050"/>
          <w:sz w:val="18"/>
          <w:szCs w:val="18"/>
        </w:rPr>
      </w:pPr>
    </w:p>
    <w:p w:rsidR="009139E1" w:rsidRPr="00321427" w:rsidRDefault="009139E1" w:rsidP="009139E1">
      <w:pPr>
        <w:pStyle w:val="Bibliography"/>
        <w:numPr>
          <w:ilvl w:val="0"/>
          <w:numId w:val="4"/>
        </w:numPr>
        <w:spacing w:after="0" w:line="288" w:lineRule="auto"/>
        <w:jc w:val="both"/>
        <w:rPr>
          <w:rFonts w:asciiTheme="minorHAnsi" w:hAnsiTheme="minorHAnsi" w:cs="Arial"/>
          <w:noProof/>
          <w:sz w:val="18"/>
          <w:szCs w:val="18"/>
        </w:rPr>
      </w:pPr>
      <w:r w:rsidRPr="00321427">
        <w:rPr>
          <w:rFonts w:asciiTheme="minorHAnsi" w:hAnsiTheme="minorHAnsi" w:cs="Arial"/>
          <w:noProof/>
          <w:sz w:val="18"/>
          <w:szCs w:val="18"/>
        </w:rPr>
        <w:t>Bunevicius, R. &amp; Prange, A., 2010. Thyroid disease and mental disorders: cause and effect or only comorbidity?. July, 23(4), pp. 363-368.</w:t>
      </w:r>
    </w:p>
    <w:p w:rsidR="009139E1" w:rsidRPr="00321427" w:rsidRDefault="009139E1" w:rsidP="009139E1">
      <w:pPr>
        <w:pStyle w:val="Bibliography"/>
        <w:numPr>
          <w:ilvl w:val="0"/>
          <w:numId w:val="4"/>
        </w:numPr>
        <w:spacing w:after="0" w:line="288" w:lineRule="auto"/>
        <w:jc w:val="both"/>
        <w:rPr>
          <w:rFonts w:asciiTheme="minorHAnsi" w:hAnsiTheme="minorHAnsi" w:cs="Arial"/>
          <w:noProof/>
          <w:sz w:val="18"/>
          <w:szCs w:val="18"/>
        </w:rPr>
      </w:pPr>
      <w:r w:rsidRPr="00321427">
        <w:rPr>
          <w:rFonts w:asciiTheme="minorHAnsi" w:hAnsiTheme="minorHAnsi" w:cs="Arial"/>
          <w:noProof/>
          <w:sz w:val="18"/>
          <w:szCs w:val="18"/>
        </w:rPr>
        <w:t xml:space="preserve">Lee, I. et al., 2003. Relationship of stressful life events, anxiety and depression to hyperthyroidism in an asian population. </w:t>
      </w:r>
      <w:r w:rsidRPr="00321427">
        <w:rPr>
          <w:rFonts w:asciiTheme="minorHAnsi" w:hAnsiTheme="minorHAnsi" w:cs="Arial"/>
          <w:iCs/>
          <w:noProof/>
          <w:sz w:val="18"/>
          <w:szCs w:val="18"/>
        </w:rPr>
        <w:t xml:space="preserve">Hormone research, </w:t>
      </w:r>
      <w:r w:rsidRPr="00321427">
        <w:rPr>
          <w:rFonts w:asciiTheme="minorHAnsi" w:hAnsiTheme="minorHAnsi" w:cs="Arial"/>
          <w:noProof/>
          <w:sz w:val="18"/>
          <w:szCs w:val="18"/>
        </w:rPr>
        <w:t>60(5), pp. 247-251.</w:t>
      </w:r>
    </w:p>
    <w:p w:rsidR="009139E1" w:rsidRPr="00321427" w:rsidRDefault="009139E1" w:rsidP="009139E1">
      <w:pPr>
        <w:pStyle w:val="Bibliography"/>
        <w:numPr>
          <w:ilvl w:val="0"/>
          <w:numId w:val="4"/>
        </w:numPr>
        <w:spacing w:after="0" w:line="288" w:lineRule="auto"/>
        <w:jc w:val="both"/>
        <w:rPr>
          <w:rFonts w:asciiTheme="minorHAnsi" w:hAnsiTheme="minorHAnsi" w:cs="Arial"/>
          <w:noProof/>
          <w:sz w:val="18"/>
          <w:szCs w:val="18"/>
        </w:rPr>
      </w:pPr>
      <w:r w:rsidRPr="00321427">
        <w:rPr>
          <w:rFonts w:asciiTheme="minorHAnsi" w:hAnsiTheme="minorHAnsi" w:cs="Arial"/>
          <w:noProof/>
          <w:sz w:val="18"/>
          <w:szCs w:val="18"/>
        </w:rPr>
        <w:t xml:space="preserve">Segerstrom, S. C. &amp; Miller, G. E., 2004. Psychological stress and the human immune system: a meta-analytic study of 30 years of inquiry. </w:t>
      </w:r>
      <w:r w:rsidRPr="00321427">
        <w:rPr>
          <w:rFonts w:asciiTheme="minorHAnsi" w:hAnsiTheme="minorHAnsi" w:cs="Arial"/>
          <w:iCs/>
          <w:noProof/>
          <w:sz w:val="18"/>
          <w:szCs w:val="18"/>
        </w:rPr>
        <w:t xml:space="preserve">Psychological bulletin, </w:t>
      </w:r>
      <w:r w:rsidRPr="00321427">
        <w:rPr>
          <w:rFonts w:asciiTheme="minorHAnsi" w:hAnsiTheme="minorHAnsi" w:cs="Arial"/>
          <w:noProof/>
          <w:sz w:val="18"/>
          <w:szCs w:val="18"/>
        </w:rPr>
        <w:t>July, 130(4), pp. 601-630.</w:t>
      </w:r>
    </w:p>
    <w:p w:rsidR="009139E1" w:rsidRPr="00321427" w:rsidRDefault="009139E1" w:rsidP="009139E1">
      <w:pPr>
        <w:pStyle w:val="Bibliography"/>
        <w:numPr>
          <w:ilvl w:val="0"/>
          <w:numId w:val="4"/>
        </w:numPr>
        <w:spacing w:after="0" w:line="288" w:lineRule="auto"/>
        <w:jc w:val="both"/>
        <w:rPr>
          <w:rFonts w:asciiTheme="minorHAnsi" w:hAnsiTheme="minorHAnsi" w:cs="Arial"/>
          <w:noProof/>
          <w:sz w:val="18"/>
          <w:szCs w:val="18"/>
        </w:rPr>
      </w:pPr>
      <w:r w:rsidRPr="00321427">
        <w:rPr>
          <w:rFonts w:asciiTheme="minorHAnsi" w:hAnsiTheme="minorHAnsi" w:cs="Arial"/>
          <w:noProof/>
          <w:sz w:val="18"/>
          <w:szCs w:val="18"/>
        </w:rPr>
        <w:t xml:space="preserve">Zhu, D.-F.et al., 2006. fMRI revealed neural substrate for reversible. </w:t>
      </w:r>
      <w:r w:rsidRPr="00321427">
        <w:rPr>
          <w:rFonts w:asciiTheme="minorHAnsi" w:hAnsiTheme="minorHAnsi" w:cs="Arial"/>
          <w:iCs/>
          <w:noProof/>
          <w:sz w:val="18"/>
          <w:szCs w:val="18"/>
        </w:rPr>
        <w:t xml:space="preserve">Brain, </w:t>
      </w:r>
      <w:r w:rsidRPr="00321427">
        <w:rPr>
          <w:rFonts w:asciiTheme="minorHAnsi" w:hAnsiTheme="minorHAnsi" w:cs="Arial"/>
          <w:noProof/>
          <w:sz w:val="18"/>
          <w:szCs w:val="18"/>
        </w:rPr>
        <w:t>pp. 2923-2930.</w:t>
      </w:r>
    </w:p>
    <w:p w:rsidR="009139E1" w:rsidRPr="00321427" w:rsidRDefault="009139E1" w:rsidP="009139E1">
      <w:pPr>
        <w:pStyle w:val="Bibliography"/>
        <w:numPr>
          <w:ilvl w:val="0"/>
          <w:numId w:val="4"/>
        </w:numPr>
        <w:spacing w:after="0" w:line="288" w:lineRule="auto"/>
        <w:jc w:val="both"/>
        <w:rPr>
          <w:rFonts w:asciiTheme="minorHAnsi" w:hAnsiTheme="minorHAnsi" w:cs="Arial"/>
          <w:noProof/>
          <w:sz w:val="18"/>
          <w:szCs w:val="18"/>
          <w:lang w:eastAsia="zh-CN"/>
        </w:rPr>
      </w:pPr>
      <w:r w:rsidRPr="00321427">
        <w:rPr>
          <w:rFonts w:asciiTheme="minorHAnsi" w:hAnsiTheme="minorHAnsi" w:cs="Arial"/>
          <w:noProof/>
          <w:sz w:val="18"/>
          <w:szCs w:val="18"/>
          <w:lang w:val="da-DK"/>
        </w:rPr>
        <w:t xml:space="preserve">Greicius, M. D. et al., 2007. </w:t>
      </w:r>
      <w:r w:rsidRPr="00321427">
        <w:rPr>
          <w:rFonts w:asciiTheme="minorHAnsi" w:hAnsiTheme="minorHAnsi" w:cs="Arial"/>
          <w:noProof/>
          <w:sz w:val="18"/>
          <w:szCs w:val="18"/>
        </w:rPr>
        <w:t xml:space="preserve">Resting-State Functional Connectivity in Major Depression: Abnormally Increased Contributions from Subgenual Cingulate Cortex and Thalamus. </w:t>
      </w:r>
      <w:r w:rsidRPr="00321427">
        <w:rPr>
          <w:rFonts w:asciiTheme="minorHAnsi" w:hAnsiTheme="minorHAnsi" w:cs="Arial"/>
          <w:iCs/>
          <w:noProof/>
          <w:sz w:val="18"/>
          <w:szCs w:val="18"/>
        </w:rPr>
        <w:t xml:space="preserve">Biological Psychiatry, </w:t>
      </w:r>
      <w:r w:rsidRPr="00321427">
        <w:rPr>
          <w:rFonts w:asciiTheme="minorHAnsi" w:hAnsiTheme="minorHAnsi" w:cs="Arial"/>
          <w:noProof/>
          <w:sz w:val="18"/>
          <w:szCs w:val="18"/>
        </w:rPr>
        <w:t>1 September, 62(5), pp. 429-437.</w:t>
      </w:r>
    </w:p>
    <w:p w:rsidR="009139E1" w:rsidRPr="00321427" w:rsidRDefault="009139E1" w:rsidP="009139E1">
      <w:pPr>
        <w:pStyle w:val="Bibliography"/>
        <w:numPr>
          <w:ilvl w:val="0"/>
          <w:numId w:val="4"/>
        </w:numPr>
        <w:spacing w:after="0" w:line="288" w:lineRule="auto"/>
        <w:jc w:val="both"/>
        <w:rPr>
          <w:rFonts w:asciiTheme="minorHAnsi" w:hAnsiTheme="minorHAnsi" w:cs="Arial"/>
          <w:noProof/>
          <w:sz w:val="18"/>
          <w:szCs w:val="18"/>
        </w:rPr>
      </w:pPr>
      <w:r w:rsidRPr="00321427">
        <w:rPr>
          <w:rFonts w:asciiTheme="minorHAnsi" w:hAnsiTheme="minorHAnsi" w:cs="Arial"/>
          <w:noProof/>
          <w:sz w:val="18"/>
          <w:szCs w:val="18"/>
        </w:rPr>
        <w:t xml:space="preserve">Kim, J.-M.et al., 2010. Thyroid Stimulating Hormone, Cognitive Impairment and Depression in an Older Korean Population. </w:t>
      </w:r>
      <w:r w:rsidRPr="00321427">
        <w:rPr>
          <w:rFonts w:asciiTheme="minorHAnsi" w:hAnsiTheme="minorHAnsi" w:cs="Arial"/>
          <w:iCs/>
          <w:noProof/>
          <w:sz w:val="18"/>
          <w:szCs w:val="18"/>
        </w:rPr>
        <w:t xml:space="preserve">Psychiatry Investigation, </w:t>
      </w:r>
      <w:r w:rsidRPr="00321427">
        <w:rPr>
          <w:rFonts w:asciiTheme="minorHAnsi" w:hAnsiTheme="minorHAnsi" w:cs="Arial"/>
          <w:noProof/>
          <w:sz w:val="18"/>
          <w:szCs w:val="18"/>
        </w:rPr>
        <w:t>December, 7(4), pp. 264-269.</w:t>
      </w:r>
    </w:p>
    <w:p w:rsidR="00E61AF0" w:rsidRPr="00321427" w:rsidRDefault="00E61AF0" w:rsidP="009139E1">
      <w:pPr>
        <w:pStyle w:val="NoSpacing"/>
        <w:spacing w:line="288" w:lineRule="auto"/>
        <w:ind w:left="552" w:firstLineChars="0" w:firstLine="0"/>
        <w:rPr>
          <w:rFonts w:ascii="Tw Cen MT" w:eastAsiaTheme="minorEastAsia" w:hAnsi="Tw Cen MT" w:cs="Arial"/>
          <w:color w:val="000000"/>
          <w:sz w:val="18"/>
          <w:szCs w:val="18"/>
        </w:rPr>
      </w:pPr>
    </w:p>
    <w:p w:rsidR="009139E1" w:rsidRPr="00321427" w:rsidRDefault="009139E1" w:rsidP="009139E1">
      <w:pPr>
        <w:pStyle w:val="NoSpacing"/>
        <w:spacing w:line="288" w:lineRule="auto"/>
        <w:ind w:left="552" w:firstLineChars="0" w:firstLine="0"/>
        <w:rPr>
          <w:rFonts w:ascii="Tw Cen MT" w:hAnsi="Tw Cen MT" w:cs="Arial"/>
          <w:color w:val="000000"/>
          <w:sz w:val="18"/>
          <w:szCs w:val="18"/>
        </w:rPr>
        <w:sectPr w:rsidR="009139E1" w:rsidRPr="00321427">
          <w:type w:val="continuous"/>
          <w:pgSz w:w="11910" w:h="16840"/>
          <w:pgMar w:top="1740" w:right="600" w:bottom="840" w:left="620" w:header="720" w:footer="720" w:gutter="0"/>
          <w:cols w:num="2" w:space="720" w:equalWidth="0">
            <w:col w:w="5214" w:space="138"/>
            <w:col w:w="5338"/>
          </w:cols>
        </w:sectPr>
      </w:pPr>
    </w:p>
    <w:p w:rsidR="006746DC" w:rsidRPr="00321427" w:rsidRDefault="00A9710C" w:rsidP="006746DC">
      <w:pPr>
        <w:pStyle w:val="FootnoteText"/>
        <w:ind w:firstLine="0"/>
        <w:rPr>
          <w:rFonts w:ascii="Arial" w:hAnsi="Arial" w:cs="Arial"/>
          <w:color w:val="BF5A14"/>
          <w:sz w:val="18"/>
          <w:szCs w:val="18"/>
        </w:rPr>
      </w:pPr>
      <w:r w:rsidRPr="00321427">
        <w:rPr>
          <w:rFonts w:ascii="Arial" w:hAnsi="Arial" w:cs="Arial"/>
          <w:color w:val="BF5A14"/>
          <w:sz w:val="18"/>
          <w:szCs w:val="18"/>
        </w:rPr>
        <w:lastRenderedPageBreak/>
        <w:t>Biography</w:t>
      </w:r>
      <w:r w:rsidR="00404E5B" w:rsidRPr="00321427">
        <w:rPr>
          <w:rFonts w:ascii="Arial" w:hAnsi="Arial" w:cs="Arial"/>
          <w:color w:val="BF5A14"/>
          <w:sz w:val="18"/>
          <w:szCs w:val="18"/>
        </w:rPr>
        <w:t xml:space="preserve"> </w:t>
      </w:r>
    </w:p>
    <w:p w:rsidR="006746DC" w:rsidRPr="00321427" w:rsidRDefault="009139E1" w:rsidP="006746DC">
      <w:pPr>
        <w:pStyle w:val="FootnoteText"/>
        <w:ind w:firstLine="0"/>
        <w:rPr>
          <w:rFonts w:ascii="Arial" w:hAnsi="Arial" w:cs="Arial"/>
          <w:sz w:val="18"/>
          <w:szCs w:val="18"/>
        </w:rPr>
      </w:pPr>
      <w:proofErr w:type="spellStart"/>
      <w:r w:rsidRPr="00321427">
        <w:rPr>
          <w:rFonts w:ascii="Arial" w:eastAsiaTheme="minorEastAsia" w:hAnsi="Arial" w:cs="Arial"/>
          <w:sz w:val="18"/>
          <w:szCs w:val="18"/>
          <w:lang w:eastAsia="zh-CN"/>
        </w:rPr>
        <w:t>Tahir</w:t>
      </w:r>
      <w:proofErr w:type="spellEnd"/>
      <w:r w:rsidRPr="00321427">
        <w:rPr>
          <w:rFonts w:ascii="Arial" w:eastAsiaTheme="minorEastAsia" w:hAnsi="Arial" w:cs="Arial"/>
          <w:sz w:val="18"/>
          <w:szCs w:val="18"/>
          <w:lang w:eastAsia="zh-CN"/>
        </w:rPr>
        <w:t xml:space="preserve"> </w:t>
      </w:r>
      <w:proofErr w:type="spellStart"/>
      <w:r w:rsidRPr="00321427">
        <w:rPr>
          <w:rFonts w:ascii="Arial" w:eastAsiaTheme="minorEastAsia" w:hAnsi="Arial" w:cs="Arial"/>
          <w:sz w:val="18"/>
          <w:szCs w:val="18"/>
          <w:lang w:eastAsia="zh-CN"/>
        </w:rPr>
        <w:t>Mehmood</w:t>
      </w:r>
      <w:proofErr w:type="spellEnd"/>
      <w:r w:rsidRPr="00321427">
        <w:rPr>
          <w:rFonts w:ascii="Arial" w:eastAsiaTheme="minorEastAsia" w:hAnsi="Arial" w:cs="Arial"/>
          <w:sz w:val="18"/>
          <w:szCs w:val="18"/>
          <w:lang w:eastAsia="zh-CN"/>
        </w:rPr>
        <w:t xml:space="preserve"> </w:t>
      </w:r>
      <w:proofErr w:type="spellStart"/>
      <w:r w:rsidRPr="00321427">
        <w:rPr>
          <w:rFonts w:ascii="Arial" w:eastAsiaTheme="minorEastAsia" w:hAnsi="Arial" w:cs="Arial"/>
          <w:sz w:val="18"/>
          <w:szCs w:val="18"/>
          <w:lang w:eastAsia="zh-CN"/>
        </w:rPr>
        <w:t>Shakir</w:t>
      </w:r>
      <w:proofErr w:type="spellEnd"/>
      <w:r w:rsidRPr="00321427">
        <w:rPr>
          <w:rFonts w:ascii="Arial" w:eastAsiaTheme="minorEastAsia" w:hAnsi="Arial" w:cs="Arial"/>
          <w:sz w:val="18"/>
          <w:szCs w:val="18"/>
          <w:lang w:eastAsia="zh-CN"/>
        </w:rPr>
        <w:t xml:space="preserve"> </w:t>
      </w:r>
      <w:r w:rsidR="006746DC" w:rsidRPr="00321427">
        <w:rPr>
          <w:rFonts w:ascii="Arial" w:hAnsi="Arial" w:cs="Arial"/>
          <w:sz w:val="18"/>
          <w:szCs w:val="18"/>
        </w:rPr>
        <w:t xml:space="preserve">is M.D. Resident of Medical Imaging and Nuclear Medicine in The First Affiliated Hospital of Xi’an </w:t>
      </w:r>
      <w:proofErr w:type="spellStart"/>
      <w:r w:rsidR="006746DC" w:rsidRPr="00321427">
        <w:rPr>
          <w:rFonts w:ascii="Arial" w:hAnsi="Arial" w:cs="Arial"/>
          <w:sz w:val="18"/>
          <w:szCs w:val="18"/>
        </w:rPr>
        <w:t>Jiaotong</w:t>
      </w:r>
      <w:proofErr w:type="spellEnd"/>
      <w:r w:rsidR="006746DC" w:rsidRPr="00321427">
        <w:rPr>
          <w:rFonts w:ascii="Arial" w:hAnsi="Arial" w:cs="Arial"/>
          <w:sz w:val="18"/>
          <w:szCs w:val="18"/>
        </w:rPr>
        <w:t xml:space="preserve"> University, Xi’an, Shaanxi, </w:t>
      </w:r>
      <w:proofErr w:type="gramStart"/>
      <w:r w:rsidR="006746DC" w:rsidRPr="00321427">
        <w:rPr>
          <w:rFonts w:ascii="Arial" w:hAnsi="Arial" w:cs="Arial"/>
          <w:sz w:val="18"/>
          <w:szCs w:val="18"/>
        </w:rPr>
        <w:t>China</w:t>
      </w:r>
      <w:proofErr w:type="gramEnd"/>
      <w:r w:rsidRPr="00321427">
        <w:rPr>
          <w:rFonts w:ascii="Arial" w:hAnsi="Arial" w:cs="Arial"/>
          <w:sz w:val="18"/>
          <w:szCs w:val="18"/>
        </w:rPr>
        <w:t>. Contact number: +861</w:t>
      </w:r>
      <w:r w:rsidRPr="00321427">
        <w:rPr>
          <w:rFonts w:ascii="Arial" w:eastAsiaTheme="minorEastAsia" w:hAnsi="Arial" w:cs="Arial"/>
          <w:sz w:val="18"/>
          <w:szCs w:val="18"/>
          <w:lang w:eastAsia="zh-CN"/>
        </w:rPr>
        <w:t>5029010446</w:t>
      </w:r>
      <w:r w:rsidR="006746DC" w:rsidRPr="00321427">
        <w:rPr>
          <w:rFonts w:ascii="Arial" w:hAnsi="Arial" w:cs="Arial"/>
          <w:sz w:val="18"/>
          <w:szCs w:val="18"/>
        </w:rPr>
        <w:t xml:space="preserve"> </w:t>
      </w:r>
      <w:r w:rsidR="00321427">
        <w:rPr>
          <w:rFonts w:ascii="Arial" w:eastAsiaTheme="minorEastAsia" w:hAnsi="Arial" w:cs="Arial" w:hint="eastAsia"/>
          <w:color w:val="0070C0"/>
          <w:sz w:val="18"/>
          <w:szCs w:val="18"/>
          <w:lang w:eastAsia="zh-CN"/>
        </w:rPr>
        <w:t>E</w:t>
      </w:r>
      <w:r w:rsidRPr="00321427">
        <w:rPr>
          <w:rFonts w:ascii="Arial" w:hAnsi="Arial" w:cs="Arial"/>
          <w:color w:val="0070C0"/>
          <w:sz w:val="18"/>
          <w:szCs w:val="18"/>
        </w:rPr>
        <w:t xml:space="preserve">-mail: </w:t>
      </w:r>
      <w:r w:rsidRPr="00321427">
        <w:rPr>
          <w:rFonts w:ascii="Arial" w:eastAsiaTheme="minorEastAsia" w:hAnsi="Arial" w:cs="Arial"/>
          <w:color w:val="0070C0"/>
          <w:sz w:val="18"/>
          <w:szCs w:val="18"/>
          <w:lang w:eastAsia="zh-CN"/>
        </w:rPr>
        <w:t>dr_tahir81</w:t>
      </w:r>
      <w:r w:rsidRPr="00321427">
        <w:rPr>
          <w:rFonts w:ascii="Arial" w:hAnsi="Arial" w:cs="Arial"/>
          <w:color w:val="0070C0"/>
          <w:sz w:val="18"/>
          <w:szCs w:val="18"/>
        </w:rPr>
        <w:t>@</w:t>
      </w:r>
      <w:r w:rsidRPr="00321427">
        <w:rPr>
          <w:rFonts w:ascii="Arial" w:eastAsiaTheme="minorEastAsia" w:hAnsi="Arial" w:cs="Arial"/>
          <w:color w:val="0070C0"/>
          <w:sz w:val="18"/>
          <w:szCs w:val="18"/>
          <w:lang w:eastAsia="zh-CN"/>
        </w:rPr>
        <w:t>hot</w:t>
      </w:r>
      <w:r w:rsidR="006746DC" w:rsidRPr="00321427">
        <w:rPr>
          <w:rFonts w:ascii="Arial" w:hAnsi="Arial" w:cs="Arial"/>
          <w:color w:val="0070C0"/>
          <w:sz w:val="18"/>
          <w:szCs w:val="18"/>
        </w:rPr>
        <w:t>mail.com</w:t>
      </w:r>
    </w:p>
    <w:p w:rsidR="006746DC" w:rsidRPr="00321427" w:rsidRDefault="006746DC" w:rsidP="006746DC">
      <w:pPr>
        <w:pStyle w:val="FootnoteText"/>
        <w:ind w:firstLine="0"/>
        <w:rPr>
          <w:rFonts w:ascii="Arial" w:hAnsi="Arial" w:cs="Arial"/>
          <w:sz w:val="18"/>
          <w:szCs w:val="18"/>
        </w:rPr>
      </w:pPr>
      <w:r w:rsidRPr="00321427">
        <w:rPr>
          <w:rFonts w:ascii="Arial" w:hAnsi="Arial" w:cs="Arial"/>
          <w:sz w:val="18"/>
          <w:szCs w:val="18"/>
        </w:rPr>
        <w:t xml:space="preserve">Ma </w:t>
      </w:r>
      <w:proofErr w:type="spellStart"/>
      <w:r w:rsidRPr="00321427">
        <w:rPr>
          <w:rFonts w:ascii="Arial" w:hAnsi="Arial" w:cs="Arial"/>
          <w:sz w:val="18"/>
          <w:szCs w:val="18"/>
        </w:rPr>
        <w:t>Shao</w:t>
      </w:r>
      <w:proofErr w:type="spellEnd"/>
      <w:r w:rsidRPr="00321427">
        <w:rPr>
          <w:rFonts w:ascii="Arial" w:hAnsi="Arial" w:cs="Arial"/>
          <w:sz w:val="18"/>
          <w:szCs w:val="18"/>
        </w:rPr>
        <w:t xml:space="preserve"> </w:t>
      </w:r>
      <w:proofErr w:type="spellStart"/>
      <w:r w:rsidRPr="00321427">
        <w:rPr>
          <w:rFonts w:ascii="Arial" w:hAnsi="Arial" w:cs="Arial"/>
          <w:sz w:val="18"/>
          <w:szCs w:val="18"/>
        </w:rPr>
        <w:t>Hui</w:t>
      </w:r>
      <w:proofErr w:type="spellEnd"/>
      <w:r w:rsidRPr="00321427">
        <w:rPr>
          <w:rFonts w:ascii="Arial" w:hAnsi="Arial" w:cs="Arial"/>
          <w:sz w:val="18"/>
          <w:szCs w:val="18"/>
        </w:rPr>
        <w:t xml:space="preserve"> is PhD Scholar of Medical Imaging and Nuclear Medicine in The First Affiliated Hospital of Xi’an </w:t>
      </w:r>
      <w:proofErr w:type="spellStart"/>
      <w:r w:rsidRPr="00321427">
        <w:rPr>
          <w:rFonts w:ascii="Arial" w:hAnsi="Arial" w:cs="Arial"/>
          <w:sz w:val="18"/>
          <w:szCs w:val="18"/>
        </w:rPr>
        <w:t>Jiaotong</w:t>
      </w:r>
      <w:proofErr w:type="spellEnd"/>
      <w:r w:rsidRPr="00321427">
        <w:rPr>
          <w:rFonts w:ascii="Arial" w:hAnsi="Arial" w:cs="Arial"/>
          <w:sz w:val="18"/>
          <w:szCs w:val="18"/>
        </w:rPr>
        <w:t xml:space="preserve"> University, Xi’an, Shaanxi, </w:t>
      </w:r>
      <w:proofErr w:type="gramStart"/>
      <w:r w:rsidRPr="00321427">
        <w:rPr>
          <w:rFonts w:ascii="Arial" w:hAnsi="Arial" w:cs="Arial"/>
          <w:sz w:val="18"/>
          <w:szCs w:val="18"/>
        </w:rPr>
        <w:t>China</w:t>
      </w:r>
      <w:proofErr w:type="gramEnd"/>
      <w:r w:rsidRPr="00321427">
        <w:rPr>
          <w:rFonts w:ascii="Arial" w:hAnsi="Arial" w:cs="Arial"/>
          <w:sz w:val="18"/>
          <w:szCs w:val="18"/>
        </w:rPr>
        <w:t>.</w:t>
      </w:r>
    </w:p>
    <w:p w:rsidR="006746DC" w:rsidRPr="00321427" w:rsidRDefault="006746DC" w:rsidP="006746DC">
      <w:pPr>
        <w:pStyle w:val="FootnoteText"/>
        <w:ind w:firstLine="0"/>
        <w:rPr>
          <w:rFonts w:ascii="Arial" w:hAnsi="Arial" w:cs="Arial"/>
          <w:sz w:val="18"/>
          <w:szCs w:val="18"/>
        </w:rPr>
      </w:pPr>
      <w:r w:rsidRPr="00321427">
        <w:rPr>
          <w:rFonts w:ascii="Arial" w:hAnsi="Arial" w:cs="Arial"/>
          <w:sz w:val="18"/>
          <w:szCs w:val="18"/>
        </w:rPr>
        <w:t xml:space="preserve">Ma </w:t>
      </w:r>
      <w:proofErr w:type="spellStart"/>
      <w:r w:rsidRPr="00321427">
        <w:rPr>
          <w:rFonts w:ascii="Arial" w:hAnsi="Arial" w:cs="Arial"/>
          <w:sz w:val="18"/>
          <w:szCs w:val="18"/>
        </w:rPr>
        <w:t>Xue</w:t>
      </w:r>
      <w:proofErr w:type="spellEnd"/>
      <w:r w:rsidRPr="00321427">
        <w:rPr>
          <w:rFonts w:ascii="Arial" w:hAnsi="Arial" w:cs="Arial"/>
          <w:sz w:val="18"/>
          <w:szCs w:val="18"/>
        </w:rPr>
        <w:t xml:space="preserve"> Ying is PhD Scholar of Medical Imaging and Nuclear Medicine in The First Affiliated Hospital of Xi’an </w:t>
      </w:r>
      <w:proofErr w:type="spellStart"/>
      <w:r w:rsidRPr="00321427">
        <w:rPr>
          <w:rFonts w:ascii="Arial" w:hAnsi="Arial" w:cs="Arial"/>
          <w:sz w:val="18"/>
          <w:szCs w:val="18"/>
        </w:rPr>
        <w:t>Jiaotong</w:t>
      </w:r>
      <w:proofErr w:type="spellEnd"/>
      <w:r w:rsidRPr="00321427">
        <w:rPr>
          <w:rFonts w:ascii="Arial" w:hAnsi="Arial" w:cs="Arial"/>
          <w:sz w:val="18"/>
          <w:szCs w:val="18"/>
        </w:rPr>
        <w:t xml:space="preserve"> University, Xi’ an, Shaanxi, China.</w:t>
      </w:r>
    </w:p>
    <w:p w:rsidR="006746DC" w:rsidRPr="00321427" w:rsidRDefault="006746DC" w:rsidP="006746DC">
      <w:pPr>
        <w:rPr>
          <w:rFonts w:ascii="Arial" w:hAnsi="Arial" w:cs="Arial"/>
          <w:sz w:val="18"/>
          <w:szCs w:val="18"/>
        </w:rPr>
      </w:pPr>
      <w:r w:rsidRPr="00321427">
        <w:rPr>
          <w:rFonts w:ascii="Arial" w:hAnsi="Arial" w:cs="Arial"/>
          <w:color w:val="000000" w:themeColor="text1"/>
          <w:sz w:val="18"/>
          <w:szCs w:val="18"/>
        </w:rPr>
        <w:t>Zhang Ming</w:t>
      </w:r>
      <w:r w:rsidRPr="00321427">
        <w:rPr>
          <w:rFonts w:ascii="Arial" w:hAnsi="Arial" w:cs="Arial"/>
          <w:sz w:val="18"/>
          <w:szCs w:val="18"/>
        </w:rPr>
        <w:t xml:space="preserve"> is Professor of Medical Imaging and Nuclear Medicine in The First Affiliated Hospital of Xi’an </w:t>
      </w:r>
      <w:proofErr w:type="spellStart"/>
      <w:r w:rsidRPr="00321427">
        <w:rPr>
          <w:rFonts w:ascii="Arial" w:hAnsi="Arial" w:cs="Arial"/>
          <w:sz w:val="18"/>
          <w:szCs w:val="18"/>
        </w:rPr>
        <w:t>Jiaotong</w:t>
      </w:r>
      <w:proofErr w:type="spellEnd"/>
      <w:r w:rsidRPr="00321427">
        <w:rPr>
          <w:rFonts w:ascii="Arial" w:hAnsi="Arial" w:cs="Arial"/>
          <w:sz w:val="18"/>
          <w:szCs w:val="18"/>
        </w:rPr>
        <w:t xml:space="preserve"> </w:t>
      </w:r>
      <w:proofErr w:type="spellStart"/>
      <w:r w:rsidRPr="00321427">
        <w:rPr>
          <w:rFonts w:ascii="Arial" w:hAnsi="Arial" w:cs="Arial"/>
          <w:sz w:val="18"/>
          <w:szCs w:val="18"/>
        </w:rPr>
        <w:t>University</w:t>
      </w:r>
      <w:proofErr w:type="gramStart"/>
      <w:r w:rsidRPr="00321427">
        <w:rPr>
          <w:rFonts w:ascii="Arial" w:hAnsi="Arial" w:cs="Arial"/>
          <w:sz w:val="18"/>
          <w:szCs w:val="18"/>
        </w:rPr>
        <w:t>,Xi’an,Shaanxi,China</w:t>
      </w:r>
      <w:proofErr w:type="spellEnd"/>
      <w:proofErr w:type="gramEnd"/>
      <w:r w:rsidRPr="00321427">
        <w:rPr>
          <w:rFonts w:ascii="Arial" w:hAnsi="Arial" w:cs="Arial"/>
          <w:sz w:val="18"/>
          <w:szCs w:val="18"/>
        </w:rPr>
        <w:t>.</w:t>
      </w:r>
    </w:p>
    <w:sectPr w:rsidR="006746DC" w:rsidRPr="00321427" w:rsidSect="006746DC">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7C5" w:rsidRDefault="00D937C5">
      <w:r>
        <w:separator/>
      </w:r>
    </w:p>
  </w:endnote>
  <w:endnote w:type="continuationSeparator" w:id="0">
    <w:p w:rsidR="00D937C5" w:rsidRDefault="00D937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Times New Roman"/>
    <w:panose1 w:val="00000000000000000000"/>
    <w:charset w:val="00"/>
    <w:family w:val="roman"/>
    <w:notTrueType/>
    <w:pitch w:val="default"/>
    <w:sig w:usb0="00000000" w:usb1="00000000" w:usb2="00000000" w:usb3="00000000" w:csb0="00000000" w:csb1="00000000"/>
  </w:font>
  <w:font w:name="MingLiU-ExtB">
    <w:panose1 w:val="02020500000000000000"/>
    <w:charset w:val="88"/>
    <w:family w:val="roman"/>
    <w:pitch w:val="variable"/>
    <w:sig w:usb0="8000002F" w:usb1="0A080008" w:usb2="00000010" w:usb3="00000000" w:csb0="001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272E6">
    <w:pPr>
      <w:pStyle w:val="BodyText"/>
      <w:spacing w:line="14" w:lineRule="auto"/>
      <w:rPr>
        <w:sz w:val="20"/>
      </w:rPr>
    </w:pPr>
    <w:r w:rsidRPr="00D272E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6746DC" w:rsidRDefault="00A9710C" w:rsidP="006746DC">
                <w:r w:rsidRPr="006746DC">
                  <w:t xml:space="preserve"> </w:t>
                </w:r>
              </w:p>
            </w:txbxContent>
          </v:textbox>
          <w10:wrap anchorx="page" anchory="page"/>
        </v:shape>
      </w:pict>
    </w:r>
    <w:r w:rsidRPr="00D272E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272E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6746DC" w:rsidRDefault="00AE3E37" w:rsidP="006746DC"/>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7C5" w:rsidRDefault="00D937C5">
      <w:r>
        <w:separator/>
      </w:r>
    </w:p>
  </w:footnote>
  <w:footnote w:type="continuationSeparator" w:id="0">
    <w:p w:rsidR="00D937C5" w:rsidRDefault="00D937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272E6">
    <w:pPr>
      <w:pStyle w:val="BodyText"/>
      <w:spacing w:line="14" w:lineRule="auto"/>
      <w:rPr>
        <w:sz w:val="20"/>
      </w:rPr>
    </w:pPr>
    <w:r w:rsidRPr="00D272E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v:textbox>
          <w10:wrap anchorx="page" anchory="page"/>
        </v:shape>
      </w:pict>
    </w:r>
    <w:r w:rsidRPr="00D272E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D1327"/>
    <w:multiLevelType w:val="hybridMultilevel"/>
    <w:tmpl w:val="A59A87B4"/>
    <w:lvl w:ilvl="0" w:tplc="205CECB8">
      <w:start w:val="1"/>
      <w:numFmt w:val="decimal"/>
      <w:lvlText w:val="[%1]"/>
      <w:lvlJc w:val="left"/>
      <w:pPr>
        <w:tabs>
          <w:tab w:val="num" w:pos="780"/>
        </w:tabs>
        <w:ind w:left="780" w:hanging="420"/>
      </w:pPr>
      <w:rPr>
        <w:rFonts w:ascii="Times New Roman" w:hAnsi="Times New Roman" w:cs="Times New Roman" w:hint="default"/>
        <w:b w:val="0"/>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835DA7"/>
    <w:multiLevelType w:val="hybridMultilevel"/>
    <w:tmpl w:val="3454FED8"/>
    <w:lvl w:ilvl="0" w:tplc="6948571C">
      <w:start w:val="1"/>
      <w:numFmt w:val="decimal"/>
      <w:lvlText w:val="[%1]"/>
      <w:lvlJc w:val="left"/>
      <w:pPr>
        <w:tabs>
          <w:tab w:val="num" w:pos="420"/>
        </w:tabs>
        <w:ind w:left="420" w:hanging="420"/>
      </w:pPr>
      <w:rPr>
        <w:rFonts w:hint="eastAsia"/>
        <w:color w:val="auto"/>
        <w:vertAlign w:val="baseline"/>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useFELayout/>
  </w:compat>
  <w:docVars>
    <w:docVar w:name="__Grammarly_42____i" w:val="H4sIAAAAAAAEAKtWckksSQxILCpxzi/NK1GyMqwFAAEhoTITAAAA"/>
    <w:docVar w:name="__Grammarly_42___1" w:val="H4sIAAAAAAAEAKtWcslP9kxRslIyNDY0NrMwNjawMDUxNzY1szBU0lEKTi0uzszPAykwqgUAuzWfUCwAAAA="/>
  </w:docVars>
  <w:rsids>
    <w:rsidRoot w:val="00AE3E37"/>
    <w:rsid w:val="00071D1E"/>
    <w:rsid w:val="000A5DFC"/>
    <w:rsid w:val="000E2911"/>
    <w:rsid w:val="000F5BD1"/>
    <w:rsid w:val="001263DF"/>
    <w:rsid w:val="00246206"/>
    <w:rsid w:val="00282C30"/>
    <w:rsid w:val="00284969"/>
    <w:rsid w:val="00286FAE"/>
    <w:rsid w:val="00292ED9"/>
    <w:rsid w:val="00321427"/>
    <w:rsid w:val="00404E5B"/>
    <w:rsid w:val="00414F7B"/>
    <w:rsid w:val="004355DC"/>
    <w:rsid w:val="00471B28"/>
    <w:rsid w:val="004749B4"/>
    <w:rsid w:val="00494130"/>
    <w:rsid w:val="004D2E11"/>
    <w:rsid w:val="004F3523"/>
    <w:rsid w:val="005973B9"/>
    <w:rsid w:val="005B3A56"/>
    <w:rsid w:val="00604AF9"/>
    <w:rsid w:val="006060CE"/>
    <w:rsid w:val="0063497F"/>
    <w:rsid w:val="006746DC"/>
    <w:rsid w:val="00686644"/>
    <w:rsid w:val="007720C7"/>
    <w:rsid w:val="00873DF0"/>
    <w:rsid w:val="008756E6"/>
    <w:rsid w:val="009139E1"/>
    <w:rsid w:val="009A760F"/>
    <w:rsid w:val="009B2D44"/>
    <w:rsid w:val="00A05A57"/>
    <w:rsid w:val="00A07E82"/>
    <w:rsid w:val="00A1685E"/>
    <w:rsid w:val="00A9710C"/>
    <w:rsid w:val="00AB2D78"/>
    <w:rsid w:val="00AE3E37"/>
    <w:rsid w:val="00B21A57"/>
    <w:rsid w:val="00BC1E07"/>
    <w:rsid w:val="00BC746C"/>
    <w:rsid w:val="00C33602"/>
    <w:rsid w:val="00C444A3"/>
    <w:rsid w:val="00CD6F55"/>
    <w:rsid w:val="00D272E6"/>
    <w:rsid w:val="00D619FB"/>
    <w:rsid w:val="00D937C5"/>
    <w:rsid w:val="00DD0F7C"/>
    <w:rsid w:val="00DE3104"/>
    <w:rsid w:val="00DE4824"/>
    <w:rsid w:val="00E13590"/>
    <w:rsid w:val="00E217E5"/>
    <w:rsid w:val="00E61AF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semiHidden/>
    <w:rsid w:val="006746DC"/>
    <w:pPr>
      <w:widowControl/>
      <w:autoSpaceDE w:val="0"/>
      <w:autoSpaceDN w:val="0"/>
      <w:ind w:firstLine="202"/>
      <w:jc w:val="both"/>
    </w:pPr>
    <w:rPr>
      <w:rFonts w:ascii="Times New Roman" w:eastAsia="Times New Roman" w:hAnsi="Times New Roman" w:cs="Times New Roman"/>
      <w:sz w:val="16"/>
      <w:szCs w:val="16"/>
    </w:rPr>
  </w:style>
  <w:style w:type="character" w:customStyle="1" w:styleId="FootnoteTextChar">
    <w:name w:val="Footnote Text Char"/>
    <w:basedOn w:val="DefaultParagraphFont"/>
    <w:link w:val="FootnoteText"/>
    <w:semiHidden/>
    <w:rsid w:val="006746DC"/>
    <w:rPr>
      <w:rFonts w:ascii="Times New Roman" w:eastAsia="Times New Roman" w:hAnsi="Times New Roman" w:cs="Times New Roman"/>
      <w:sz w:val="16"/>
      <w:szCs w:val="16"/>
    </w:rPr>
  </w:style>
  <w:style w:type="paragraph" w:styleId="NoSpacing">
    <w:name w:val="No Spacing"/>
    <w:uiPriority w:val="1"/>
    <w:qFormat/>
    <w:rsid w:val="00E61AF0"/>
    <w:pPr>
      <w:ind w:firstLineChars="200" w:firstLine="200"/>
      <w:jc w:val="both"/>
    </w:pPr>
    <w:rPr>
      <w:rFonts w:ascii="Times New Roman" w:eastAsia="SimSun" w:hAnsi="Times New Roman" w:cs="Times New Roman"/>
      <w:noProof/>
      <w:kern w:val="2"/>
      <w:sz w:val="24"/>
      <w:szCs w:val="21"/>
      <w:lang w:eastAsia="zh-CN"/>
    </w:rPr>
  </w:style>
  <w:style w:type="paragraph" w:styleId="Bibliography">
    <w:name w:val="Bibliography"/>
    <w:basedOn w:val="Normal"/>
    <w:next w:val="Normal"/>
    <w:uiPriority w:val="99"/>
    <w:rsid w:val="009139E1"/>
    <w:pPr>
      <w:widowControl/>
      <w:spacing w:after="200" w:line="276" w:lineRule="auto"/>
    </w:pPr>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cp:lastModifiedBy>
  <cp:revision>21</cp:revision>
  <dcterms:created xsi:type="dcterms:W3CDTF">2016-08-31T12:23:00Z</dcterms:created>
  <dcterms:modified xsi:type="dcterms:W3CDTF">2017-04-22T09:36:00Z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