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E239E" w:rsidP="00494130">
      <w:pPr>
        <w:pStyle w:val="Heading1"/>
        <w:spacing w:before="170"/>
        <w:ind w:left="0"/>
      </w:pPr>
      <w:r w:rsidRPr="00BE239E">
        <w:rPr>
          <w:color w:val="337AB7"/>
        </w:rPr>
        <w:t>Delayed-onset MRI findings in acute chorea related to anoxic brain injury</w:t>
      </w:r>
    </w:p>
    <w:p w:rsidR="005973B9" w:rsidRDefault="00BE239E" w:rsidP="00BE239E">
      <w:pPr>
        <w:pStyle w:val="BodyText"/>
        <w:spacing w:before="73" w:line="198" w:lineRule="exact"/>
        <w:ind w:left="100" w:right="58"/>
        <w:rPr>
          <w:rFonts w:ascii="Arial"/>
        </w:rPr>
      </w:pPr>
      <w:r w:rsidRPr="00BE239E">
        <w:rPr>
          <w:rFonts w:ascii="Arial"/>
          <w:u w:val="single"/>
        </w:rPr>
        <w:t>Mehdi Ghasemi</w:t>
      </w:r>
      <w:r w:rsidRPr="00BE239E">
        <w:rPr>
          <w:rFonts w:ascii="Arial"/>
        </w:rPr>
        <w:t>, Firas Kaddouh,</w:t>
      </w:r>
      <w:r>
        <w:rPr>
          <w:rFonts w:ascii="Arial"/>
        </w:rPr>
        <w:t xml:space="preserve"> Anindita Deb, Margaret A. Owegi</w:t>
      </w:r>
    </w:p>
    <w:p w:rsidR="00BE239E" w:rsidRDefault="00BE239E" w:rsidP="00BE239E">
      <w:pPr>
        <w:pStyle w:val="BodyText"/>
        <w:spacing w:before="73" w:line="198" w:lineRule="exact"/>
        <w:ind w:left="100" w:right="58"/>
        <w:rPr>
          <w:rFonts w:ascii="Arial"/>
        </w:rPr>
      </w:pPr>
      <w:r w:rsidRPr="00BE239E">
        <w:rPr>
          <w:rFonts w:ascii="Arial"/>
        </w:rPr>
        <w:t>Department of Neurology, University of Massachuestts School of Medicine, Worcester, MA 01655, USA.</w:t>
      </w:r>
      <w:bookmarkStart w:id="0" w:name="_GoBack"/>
      <w:bookmarkEnd w:id="0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BE239E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BE239E" w:rsidRDefault="00BE239E" w:rsidP="00582D4C">
      <w:pPr>
        <w:pStyle w:val="BodyText"/>
        <w:spacing w:before="90" w:line="280" w:lineRule="auto"/>
        <w:ind w:left="100"/>
        <w:jc w:val="both"/>
      </w:pPr>
      <w:r w:rsidRPr="00BE239E">
        <w:rPr>
          <w:b/>
          <w:bCs/>
        </w:rPr>
        <w:t>OBJECTIVE.</w:t>
      </w:r>
      <w:r>
        <w:t xml:space="preserve"> To report a case of acute chorea in anoxic brain injury due to chlordiazepoxide toxicity with delayed MRI findings of bilateral </w:t>
      </w:r>
      <w:proofErr w:type="spellStart"/>
      <w:r>
        <w:t>globus</w:t>
      </w:r>
      <w:proofErr w:type="spellEnd"/>
      <w:r>
        <w:t xml:space="preserve"> pallidus lesions.</w:t>
      </w:r>
    </w:p>
    <w:p w:rsidR="00BE239E" w:rsidRDefault="00BE239E" w:rsidP="00BE239E">
      <w:pPr>
        <w:pStyle w:val="BodyText"/>
        <w:spacing w:before="90" w:line="280" w:lineRule="auto"/>
        <w:ind w:left="100"/>
        <w:jc w:val="both"/>
      </w:pPr>
      <w:r w:rsidRPr="00BE239E">
        <w:rPr>
          <w:b/>
          <w:bCs/>
        </w:rPr>
        <w:t>BACKGROUND.</w:t>
      </w:r>
      <w:r>
        <w:t xml:space="preserve"> Anoxic brain injury can manifest with a variety of abnormal movements. Associated damage to basal ganglia can also cause involuntary movements; mostly delayed </w:t>
      </w:r>
      <w:proofErr w:type="spellStart"/>
      <w:r>
        <w:t>akinetic</w:t>
      </w:r>
      <w:proofErr w:type="spellEnd"/>
      <w:r>
        <w:t xml:space="preserve">-rigid or dystonic syndrome, </w:t>
      </w:r>
      <w:proofErr w:type="spellStart"/>
      <w:r>
        <w:t>ballismus</w:t>
      </w:r>
      <w:proofErr w:type="spellEnd"/>
      <w:r>
        <w:t xml:space="preserve"> and rarely chorea.</w:t>
      </w:r>
    </w:p>
    <w:p w:rsidR="00BE239E" w:rsidRDefault="00BE239E" w:rsidP="00BE239E">
      <w:pPr>
        <w:pStyle w:val="BodyText"/>
        <w:spacing w:before="90" w:line="280" w:lineRule="auto"/>
        <w:ind w:left="100"/>
        <w:jc w:val="both"/>
      </w:pPr>
      <w:r w:rsidRPr="00BE239E">
        <w:rPr>
          <w:b/>
          <w:bCs/>
        </w:rPr>
        <w:t>METHODS.</w:t>
      </w:r>
      <w:r>
        <w:t xml:space="preserve"> Case report.</w:t>
      </w:r>
    </w:p>
    <w:p w:rsidR="00BE239E" w:rsidRDefault="00BE239E" w:rsidP="00BE239E">
      <w:pPr>
        <w:pStyle w:val="BodyText"/>
        <w:spacing w:before="90" w:line="280" w:lineRule="auto"/>
        <w:ind w:left="100"/>
        <w:jc w:val="both"/>
      </w:pPr>
      <w:r w:rsidRPr="00BE239E">
        <w:rPr>
          <w:b/>
          <w:bCs/>
        </w:rPr>
        <w:t>RESULTS.</w:t>
      </w:r>
      <w:r>
        <w:t xml:space="preserve"> A 32-year-old man with a history of major depression, anxiety, and polysubstance abuse </w:t>
      </w:r>
      <w:proofErr w:type="gramStart"/>
      <w:r>
        <w:t>was found</w:t>
      </w:r>
      <w:proofErr w:type="gramEnd"/>
      <w:r>
        <w:t xml:space="preserve"> unresponsive due to chlordiazepoxide toxicity 5-6 hours after he was last seen normal. He underwent resuscitation for 10 minutes, and required mechanical ventilation for 20 hours before being successfully extubated. Four days later, he </w:t>
      </w:r>
      <w:proofErr w:type="gramStart"/>
      <w:r>
        <w:t>was discharged</w:t>
      </w:r>
      <w:proofErr w:type="gramEnd"/>
      <w:r>
        <w:t xml:space="preserve"> fully recovered. However, 2 hours after discharge, he developed acute-onset of involuntary movements involving both upper and lower extremities and gait instability. A CT head without contrast upon re-admission was unremarkable. MRI brain without contrast 8 days after the unresponsive event was unremarkable. However, repeat MRI brain with and without contrast 15 days after the unresponsiveness event showed T2 </w:t>
      </w:r>
      <w:proofErr w:type="spellStart"/>
      <w:r>
        <w:t>hyperintensities</w:t>
      </w:r>
      <w:proofErr w:type="spellEnd"/>
      <w:r>
        <w:t xml:space="preserve"> and enhancement within the bilateral </w:t>
      </w:r>
      <w:proofErr w:type="spellStart"/>
      <w:r>
        <w:t>globus</w:t>
      </w:r>
      <w:proofErr w:type="spellEnd"/>
      <w:r>
        <w:t xml:space="preserve"> </w:t>
      </w:r>
      <w:proofErr w:type="spellStart"/>
      <w:r>
        <w:t>pallidi</w:t>
      </w:r>
      <w:proofErr w:type="spellEnd"/>
      <w:r>
        <w:t xml:space="preserve">. He was treated with haloperidol (1 mg 2-3 times daily </w:t>
      </w:r>
      <w:proofErr w:type="spellStart"/>
      <w:r>
        <w:t>p.r.n</w:t>
      </w:r>
      <w:proofErr w:type="spellEnd"/>
      <w:r>
        <w:t xml:space="preserve">. chorea), sertraline (200 mg/day), and diazepam (5 mg twice a day </w:t>
      </w:r>
      <w:proofErr w:type="spellStart"/>
      <w:r>
        <w:t>p.r.n</w:t>
      </w:r>
      <w:proofErr w:type="spellEnd"/>
      <w:r>
        <w:t xml:space="preserve">. chorea) while inpatient and discharged home on risperidone (0.5 mg </w:t>
      </w:r>
      <w:proofErr w:type="spellStart"/>
      <w:r>
        <w:t>b.i.d</w:t>
      </w:r>
      <w:proofErr w:type="spellEnd"/>
      <w:r>
        <w:t xml:space="preserve">). In subsequent follow-up visits over 8 months (with risperidone up-titration to 2 mg </w:t>
      </w:r>
      <w:proofErr w:type="spellStart"/>
      <w:r>
        <w:t>b.i.d</w:t>
      </w:r>
      <w:proofErr w:type="spellEnd"/>
      <w:r>
        <w:t xml:space="preserve">. and addition of cyclobenzaprine (5 mg </w:t>
      </w:r>
      <w:proofErr w:type="spellStart"/>
      <w:r>
        <w:t>b.i.d</w:t>
      </w:r>
      <w:proofErr w:type="spellEnd"/>
      <w:r>
        <w:t>.), the patient improved significantly with only mild residual chorea and minimal postural tremor.</w:t>
      </w:r>
    </w:p>
    <w:p w:rsidR="00AE3E37" w:rsidRDefault="00BE239E" w:rsidP="00582D4C">
      <w:pPr>
        <w:pStyle w:val="BodyText"/>
        <w:spacing w:before="90" w:line="280" w:lineRule="auto"/>
        <w:ind w:left="100"/>
        <w:jc w:val="both"/>
        <w:rPr>
          <w:color w:val="BF5A14"/>
        </w:rPr>
      </w:pPr>
      <w:r w:rsidRPr="00BE239E">
        <w:rPr>
          <w:b/>
          <w:bCs/>
        </w:rPr>
        <w:t>CONCLUSIONS.</w:t>
      </w:r>
      <w:r>
        <w:t xml:space="preserve"> Physicians should consider anoxic brain injury in the differential diagnosis of chorea, even several days after the anoxic insult. Radiographic evidence of bilateral basal ganglia lesions may be delayed over a week after the onset of chorea in anoxic brain injury.</w:t>
      </w:r>
      <w:r w:rsidR="00A9710C">
        <w:br w:type="column"/>
      </w:r>
      <w:r w:rsidR="00A9710C">
        <w:rPr>
          <w:color w:val="BF5A14"/>
        </w:rPr>
        <w:t>Image</w:t>
      </w:r>
    </w:p>
    <w:p w:rsidR="00582D4C" w:rsidRPr="00116976" w:rsidRDefault="00582D4C" w:rsidP="00582D4C">
      <w:pPr>
        <w:pStyle w:val="Heading3"/>
        <w:spacing w:before="74"/>
        <w:jc w:val="both"/>
        <w:rPr>
          <w:rFonts w:ascii="Tw Cen MT" w:hAnsi="Tw Cen MT"/>
          <w:sz w:val="18"/>
          <w:szCs w:val="18"/>
        </w:rPr>
      </w:pPr>
      <w:r w:rsidRPr="00116976">
        <w:rPr>
          <w:rFonts w:ascii="Tw Cen MT" w:hAnsi="Tw Cen MT"/>
          <w:sz w:val="18"/>
          <w:szCs w:val="18"/>
        </w:rPr>
        <w:t>Figure 1</w:t>
      </w:r>
      <w:r w:rsidRPr="00116976">
        <w:rPr>
          <w:rFonts w:ascii="Tw Cen MT" w:hAnsi="Tw Cen MT"/>
          <w:sz w:val="18"/>
          <w:szCs w:val="18"/>
        </w:rPr>
        <w:t xml:space="preserve">. </w:t>
      </w:r>
      <w:r w:rsidRPr="00116976">
        <w:rPr>
          <w:rFonts w:ascii="Tw Cen MT" w:hAnsi="Tw Cen MT"/>
          <w:b w:val="0"/>
          <w:bCs w:val="0"/>
          <w:sz w:val="18"/>
          <w:szCs w:val="18"/>
        </w:rPr>
        <w:t xml:space="preserve">Axial DWI (diffusion weighted imaging) brain MRI (A-C) and axial T2 FLAIR MRI sequences (D-F) four days after the onset of chorea (8 days after unresponsiveness event related to </w:t>
      </w:r>
      <w:proofErr w:type="spellStart"/>
      <w:r w:rsidRPr="00116976">
        <w:rPr>
          <w:rFonts w:ascii="Tw Cen MT" w:hAnsi="Tw Cen MT"/>
          <w:b w:val="0"/>
          <w:bCs w:val="0"/>
          <w:sz w:val="18"/>
          <w:szCs w:val="18"/>
        </w:rPr>
        <w:t>chlordiazpoxide</w:t>
      </w:r>
      <w:proofErr w:type="spellEnd"/>
      <w:r w:rsidRPr="00116976">
        <w:rPr>
          <w:rFonts w:ascii="Tw Cen MT" w:hAnsi="Tw Cen MT"/>
          <w:b w:val="0"/>
          <w:bCs w:val="0"/>
          <w:sz w:val="18"/>
          <w:szCs w:val="18"/>
        </w:rPr>
        <w:t xml:space="preserve"> toxicity) showing unremarkable results.</w:t>
      </w:r>
    </w:p>
    <w:p w:rsidR="00582D4C" w:rsidRDefault="00582D4C" w:rsidP="00582D4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2EA85474" wp14:editId="0ABCAE86">
            <wp:extent cx="2268000" cy="174607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0" cy="1746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D4C" w:rsidRPr="00116976" w:rsidRDefault="00582D4C" w:rsidP="00582D4C">
      <w:pPr>
        <w:pStyle w:val="Heading3"/>
        <w:spacing w:before="74"/>
        <w:jc w:val="both"/>
        <w:rPr>
          <w:rFonts w:asciiTheme="majorBidi" w:hAnsiTheme="majorBidi" w:cstheme="majorBidi"/>
          <w:b w:val="0"/>
          <w:bCs w:val="0"/>
          <w:sz w:val="18"/>
          <w:szCs w:val="18"/>
        </w:rPr>
      </w:pPr>
      <w:r w:rsidRPr="00116976">
        <w:rPr>
          <w:rFonts w:ascii="Tw Cen MT" w:hAnsi="Tw Cen MT"/>
          <w:sz w:val="18"/>
          <w:szCs w:val="18"/>
        </w:rPr>
        <w:t xml:space="preserve">Figure </w:t>
      </w:r>
      <w:r w:rsidRPr="00116976">
        <w:rPr>
          <w:rFonts w:ascii="Tw Cen MT" w:hAnsi="Tw Cen MT"/>
          <w:sz w:val="18"/>
          <w:szCs w:val="18"/>
        </w:rPr>
        <w:t xml:space="preserve">2. </w:t>
      </w:r>
      <w:r w:rsidRPr="00116976">
        <w:rPr>
          <w:rFonts w:ascii="Tw Cen MT" w:hAnsi="Tw Cen MT"/>
          <w:b w:val="0"/>
          <w:bCs w:val="0"/>
          <w:sz w:val="18"/>
          <w:szCs w:val="18"/>
        </w:rPr>
        <w:t xml:space="preserve">Axial DWI (diffusion weighted imaging) brain MRI (A-C), axial T2 FLAIR MRI (D-F) and T1-postcontrast (G-I) eleven days after onset of chorea (15 days after unresponsiveness event related to </w:t>
      </w:r>
      <w:proofErr w:type="spellStart"/>
      <w:r w:rsidRPr="00116976">
        <w:rPr>
          <w:rFonts w:ascii="Tw Cen MT" w:hAnsi="Tw Cen MT"/>
          <w:b w:val="0"/>
          <w:bCs w:val="0"/>
          <w:sz w:val="18"/>
          <w:szCs w:val="18"/>
        </w:rPr>
        <w:t>chlordiazpoxide</w:t>
      </w:r>
      <w:proofErr w:type="spellEnd"/>
      <w:r w:rsidRPr="00116976">
        <w:rPr>
          <w:rFonts w:ascii="Tw Cen MT" w:hAnsi="Tw Cen MT"/>
          <w:b w:val="0"/>
          <w:bCs w:val="0"/>
          <w:sz w:val="18"/>
          <w:szCs w:val="18"/>
        </w:rPr>
        <w:t xml:space="preserve"> toxicity) showing T2 </w:t>
      </w:r>
      <w:proofErr w:type="spellStart"/>
      <w:r w:rsidRPr="00116976">
        <w:rPr>
          <w:rFonts w:ascii="Tw Cen MT" w:hAnsi="Tw Cen MT"/>
          <w:b w:val="0"/>
          <w:bCs w:val="0"/>
          <w:sz w:val="18"/>
          <w:szCs w:val="18"/>
        </w:rPr>
        <w:t>hyperintensities</w:t>
      </w:r>
      <w:proofErr w:type="spellEnd"/>
      <w:r w:rsidRPr="00116976">
        <w:rPr>
          <w:rFonts w:ascii="Tw Cen MT" w:hAnsi="Tw Cen MT"/>
          <w:b w:val="0"/>
          <w:bCs w:val="0"/>
          <w:sz w:val="18"/>
          <w:szCs w:val="18"/>
        </w:rPr>
        <w:t xml:space="preserve"> and enhancement within the </w:t>
      </w:r>
      <w:proofErr w:type="spellStart"/>
      <w:r w:rsidRPr="00116976">
        <w:rPr>
          <w:rFonts w:ascii="Tw Cen MT" w:hAnsi="Tw Cen MT"/>
          <w:b w:val="0"/>
          <w:bCs w:val="0"/>
          <w:sz w:val="18"/>
          <w:szCs w:val="18"/>
        </w:rPr>
        <w:t>globus</w:t>
      </w:r>
      <w:proofErr w:type="spellEnd"/>
      <w:r w:rsidRPr="00116976">
        <w:rPr>
          <w:rFonts w:ascii="Tw Cen MT" w:hAnsi="Tw Cen MT"/>
          <w:b w:val="0"/>
          <w:bCs w:val="0"/>
          <w:sz w:val="18"/>
          <w:szCs w:val="18"/>
        </w:rPr>
        <w:t xml:space="preserve"> pallidus bilaterally.</w:t>
      </w:r>
    </w:p>
    <w:p w:rsidR="00582D4C" w:rsidRPr="00064AE8" w:rsidRDefault="00582D4C" w:rsidP="00582D4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ADCE695" wp14:editId="5786A3EA">
            <wp:extent cx="2268000" cy="261253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0" cy="2612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16976" w:rsidRDefault="00116976" w:rsidP="00116976">
      <w:pPr>
        <w:pStyle w:val="ListParagraph"/>
        <w:numPr>
          <w:ilvl w:val="0"/>
          <w:numId w:val="4"/>
        </w:numPr>
        <w:ind w:left="142" w:hanging="142"/>
        <w:rPr>
          <w:sz w:val="18"/>
        </w:rPr>
      </w:pPr>
      <w:r w:rsidRPr="00116976">
        <w:rPr>
          <w:sz w:val="18"/>
        </w:rPr>
        <w:t>Hawker K, Lang AE. Hypoxic-ischemic damage of the basal ganglia. Case reports and a review of the literature. Movement disorders: official journal of the Movement Disorder Society 1990</w:t>
      </w:r>
      <w:proofErr w:type="gramStart"/>
      <w:r w:rsidRPr="00116976">
        <w:rPr>
          <w:sz w:val="18"/>
        </w:rPr>
        <w:t>;5</w:t>
      </w:r>
      <w:proofErr w:type="gramEnd"/>
      <w:r w:rsidRPr="00116976">
        <w:rPr>
          <w:sz w:val="18"/>
        </w:rPr>
        <w:t>(3):219-24.</w:t>
      </w:r>
    </w:p>
    <w:p w:rsidR="00116976" w:rsidRDefault="00116976" w:rsidP="00116976">
      <w:pPr>
        <w:pStyle w:val="ListParagraph"/>
        <w:numPr>
          <w:ilvl w:val="0"/>
          <w:numId w:val="4"/>
        </w:numPr>
        <w:ind w:left="142" w:hanging="142"/>
        <w:rPr>
          <w:sz w:val="18"/>
        </w:rPr>
      </w:pPr>
      <w:r w:rsidRPr="00116976">
        <w:rPr>
          <w:sz w:val="18"/>
        </w:rPr>
        <w:t>Vila N, Chamorro A. Ballistic movements due to ischemic infarcts after intravenous heroin overdose: report of two cases. Clinical neurology and neurosurgery 1997</w:t>
      </w:r>
      <w:proofErr w:type="gramStart"/>
      <w:r w:rsidRPr="00116976">
        <w:rPr>
          <w:sz w:val="18"/>
        </w:rPr>
        <w:t>;99</w:t>
      </w:r>
      <w:proofErr w:type="gramEnd"/>
      <w:r w:rsidRPr="00116976">
        <w:rPr>
          <w:sz w:val="18"/>
        </w:rPr>
        <w:t>(4):259-62.</w:t>
      </w:r>
    </w:p>
    <w:p w:rsidR="00116976" w:rsidRPr="00116976" w:rsidRDefault="00116976" w:rsidP="00116976">
      <w:pPr>
        <w:pStyle w:val="ListParagraph"/>
        <w:numPr>
          <w:ilvl w:val="0"/>
          <w:numId w:val="4"/>
        </w:numPr>
        <w:ind w:left="142" w:hanging="142"/>
        <w:rPr>
          <w:sz w:val="18"/>
        </w:rPr>
      </w:pPr>
      <w:proofErr w:type="spellStart"/>
      <w:r w:rsidRPr="00116976">
        <w:rPr>
          <w:sz w:val="18"/>
        </w:rPr>
        <w:t>V</w:t>
      </w:r>
      <w:r w:rsidRPr="00116976">
        <w:rPr>
          <w:sz w:val="18"/>
        </w:rPr>
        <w:t>irmani</w:t>
      </w:r>
      <w:proofErr w:type="spellEnd"/>
      <w:r w:rsidRPr="00116976">
        <w:rPr>
          <w:sz w:val="18"/>
        </w:rPr>
        <w:t xml:space="preserve"> T, Greene PE, Pearson TS. Delayed onset of progressive chorea after acute basal ganglia injury. Movement </w:t>
      </w:r>
      <w:proofErr w:type="gramStart"/>
      <w:r w:rsidRPr="00116976">
        <w:rPr>
          <w:sz w:val="18"/>
        </w:rPr>
        <w:t>disorders :</w:t>
      </w:r>
      <w:proofErr w:type="gramEnd"/>
      <w:r w:rsidRPr="00116976">
        <w:rPr>
          <w:sz w:val="18"/>
        </w:rPr>
        <w:t xml:space="preserve"> official journal of the Movement Disorder Society 2013;28(5):585-7.</w:t>
      </w:r>
    </w:p>
    <w:p w:rsidR="00116976" w:rsidRPr="00116976" w:rsidRDefault="00116976" w:rsidP="00116976">
      <w:pPr>
        <w:pStyle w:val="ListParagraph"/>
        <w:numPr>
          <w:ilvl w:val="0"/>
          <w:numId w:val="4"/>
        </w:numPr>
        <w:ind w:left="142" w:hanging="142"/>
        <w:rPr>
          <w:sz w:val="18"/>
        </w:rPr>
      </w:pPr>
      <w:r w:rsidRPr="00116976">
        <w:rPr>
          <w:sz w:val="18"/>
        </w:rPr>
        <w:t xml:space="preserve">Pearson J, Baden MB, Richter RW. Neuronal depletion in the </w:t>
      </w:r>
      <w:proofErr w:type="spellStart"/>
      <w:r w:rsidRPr="00116976">
        <w:rPr>
          <w:sz w:val="18"/>
        </w:rPr>
        <w:t>globus</w:t>
      </w:r>
      <w:proofErr w:type="spellEnd"/>
      <w:r w:rsidRPr="00116976">
        <w:rPr>
          <w:sz w:val="18"/>
        </w:rPr>
        <w:t xml:space="preserve"> pallidus of heroin addicts. Drug and alcohol dependence 1976</w:t>
      </w:r>
      <w:proofErr w:type="gramStart"/>
      <w:r w:rsidRPr="00116976">
        <w:rPr>
          <w:sz w:val="18"/>
        </w:rPr>
        <w:t>;1</w:t>
      </w:r>
      <w:proofErr w:type="gramEnd"/>
      <w:r w:rsidRPr="00116976">
        <w:rPr>
          <w:sz w:val="18"/>
        </w:rPr>
        <w:t>(5):349-56.</w:t>
      </w:r>
    </w:p>
    <w:p w:rsidR="00116976" w:rsidRPr="00116976" w:rsidRDefault="00116976" w:rsidP="00116976">
      <w:pPr>
        <w:pStyle w:val="ListParagraph"/>
        <w:numPr>
          <w:ilvl w:val="0"/>
          <w:numId w:val="4"/>
        </w:numPr>
        <w:ind w:left="142" w:hanging="142"/>
        <w:rPr>
          <w:sz w:val="18"/>
        </w:rPr>
      </w:pPr>
      <w:r w:rsidRPr="00116976">
        <w:rPr>
          <w:sz w:val="18"/>
        </w:rPr>
        <w:lastRenderedPageBreak/>
        <w:t>Hermann A, Walker RH. Diagnosis and treatment of chorea syndromes. Current neurology and neuroscience reports 2015</w:t>
      </w:r>
      <w:proofErr w:type="gramStart"/>
      <w:r w:rsidRPr="00116976">
        <w:rPr>
          <w:sz w:val="18"/>
        </w:rPr>
        <w:t>;15</w:t>
      </w:r>
      <w:proofErr w:type="gramEnd"/>
      <w:r w:rsidRPr="00116976">
        <w:rPr>
          <w:sz w:val="18"/>
        </w:rPr>
        <w:t>(2):514.</w:t>
      </w:r>
    </w:p>
    <w:p w:rsidR="00AE3E37" w:rsidRPr="00116976" w:rsidRDefault="008756E6" w:rsidP="00381D46">
      <w:pPr>
        <w:pStyle w:val="ListParagraph"/>
        <w:numPr>
          <w:ilvl w:val="0"/>
          <w:numId w:val="4"/>
        </w:numPr>
        <w:ind w:left="142" w:hanging="142"/>
        <w:rPr>
          <w:sz w:val="18"/>
        </w:rPr>
        <w:sectPr w:rsidR="00AE3E37" w:rsidRPr="0011697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16976">
        <w:t xml:space="preserve">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49FB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1374DF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962025" cy="9620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63" cy="96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1374DF" w:rsidP="001374D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374DF">
        <w:rPr>
          <w:rFonts w:ascii="Arial"/>
          <w:sz w:val="14"/>
        </w:rPr>
        <w:t>Dr. Mehdi Ghasemi has completed his M.D. in Tehran University of Medical Sciences (TUMS). After working as a clinical</w:t>
      </w:r>
      <w:r>
        <w:rPr>
          <w:rFonts w:ascii="Arial"/>
          <w:sz w:val="14"/>
        </w:rPr>
        <w:t xml:space="preserve"> </w:t>
      </w:r>
      <w:r w:rsidRPr="001374DF">
        <w:rPr>
          <w:rFonts w:ascii="Arial"/>
          <w:sz w:val="14"/>
        </w:rPr>
        <w:t>researcher in Dept. of Psychiatry and senior researcher in Dept. of Pharmacology in TUMS, he joined Department of</w:t>
      </w:r>
      <w:r>
        <w:rPr>
          <w:rFonts w:ascii="Arial"/>
          <w:sz w:val="14"/>
        </w:rPr>
        <w:t xml:space="preserve"> </w:t>
      </w:r>
      <w:r w:rsidRPr="001374DF">
        <w:rPr>
          <w:rFonts w:ascii="Arial"/>
          <w:sz w:val="14"/>
        </w:rPr>
        <w:t xml:space="preserve">Neurology at Johns Hopkins University School of Medicine </w:t>
      </w:r>
      <w:r>
        <w:rPr>
          <w:rFonts w:ascii="Arial"/>
          <w:sz w:val="14"/>
        </w:rPr>
        <w:t>as post-doctoral research fellow (</w:t>
      </w:r>
      <w:r w:rsidRPr="001374DF">
        <w:rPr>
          <w:rFonts w:ascii="Arial"/>
          <w:sz w:val="14"/>
        </w:rPr>
        <w:t>2009</w:t>
      </w:r>
      <w:r>
        <w:rPr>
          <w:rFonts w:ascii="Arial"/>
          <w:sz w:val="14"/>
        </w:rPr>
        <w:t>-2014)</w:t>
      </w:r>
      <w:r w:rsidRPr="001374DF">
        <w:rPr>
          <w:rFonts w:ascii="Arial"/>
          <w:sz w:val="14"/>
        </w:rPr>
        <w:t xml:space="preserve">. He </w:t>
      </w:r>
      <w:r>
        <w:rPr>
          <w:rFonts w:ascii="Arial"/>
          <w:sz w:val="14"/>
        </w:rPr>
        <w:t>was</w:t>
      </w:r>
      <w:r w:rsidRPr="001374DF">
        <w:rPr>
          <w:rFonts w:ascii="Arial"/>
          <w:sz w:val="14"/>
        </w:rPr>
        <w:t xml:space="preserve"> also the director of Neuroscience Clinical</w:t>
      </w:r>
      <w:r>
        <w:rPr>
          <w:rFonts w:ascii="Arial"/>
          <w:sz w:val="14"/>
        </w:rPr>
        <w:t xml:space="preserve"> </w:t>
      </w:r>
      <w:r w:rsidRPr="001374DF">
        <w:rPr>
          <w:rFonts w:ascii="Arial"/>
          <w:sz w:val="14"/>
        </w:rPr>
        <w:t xml:space="preserve">Research Program at Neurology Institute for Brain Health and Fitness </w:t>
      </w:r>
      <w:r>
        <w:rPr>
          <w:rFonts w:ascii="Arial"/>
          <w:sz w:val="14"/>
        </w:rPr>
        <w:t>between</w:t>
      </w:r>
      <w:r w:rsidRPr="001374DF">
        <w:rPr>
          <w:rFonts w:ascii="Arial"/>
          <w:sz w:val="14"/>
        </w:rPr>
        <w:t xml:space="preserve"> 2012</w:t>
      </w:r>
      <w:r>
        <w:rPr>
          <w:rFonts w:ascii="Arial"/>
          <w:sz w:val="14"/>
        </w:rPr>
        <w:t xml:space="preserve"> and 2014</w:t>
      </w:r>
      <w:r w:rsidRPr="001374DF">
        <w:rPr>
          <w:rFonts w:ascii="Arial"/>
          <w:sz w:val="14"/>
        </w:rPr>
        <w:t xml:space="preserve">. He has published over </w:t>
      </w:r>
      <w:r>
        <w:rPr>
          <w:rFonts w:ascii="Arial"/>
          <w:sz w:val="14"/>
        </w:rPr>
        <w:t>60</w:t>
      </w:r>
      <w:r w:rsidRPr="001374DF">
        <w:rPr>
          <w:rFonts w:ascii="Arial"/>
          <w:sz w:val="14"/>
        </w:rPr>
        <w:t xml:space="preserve"> papers in </w:t>
      </w:r>
      <w:r w:rsidRPr="001374DF">
        <w:rPr>
          <w:rFonts w:ascii="Arial"/>
          <w:sz w:val="14"/>
        </w:rPr>
        <w:t>peer</w:t>
      </w:r>
      <w:r>
        <w:rPr>
          <w:rFonts w:ascii="Arial"/>
          <w:sz w:val="14"/>
        </w:rPr>
        <w:t xml:space="preserve">-reviewed </w:t>
      </w:r>
      <w:r w:rsidRPr="001374DF">
        <w:rPr>
          <w:rFonts w:ascii="Arial"/>
          <w:sz w:val="14"/>
        </w:rPr>
        <w:t xml:space="preserve">journals and </w:t>
      </w:r>
      <w:r>
        <w:rPr>
          <w:rFonts w:ascii="Arial"/>
          <w:sz w:val="14"/>
        </w:rPr>
        <w:t>30</w:t>
      </w:r>
      <w:r w:rsidRPr="001374DF">
        <w:rPr>
          <w:rFonts w:ascii="Arial"/>
          <w:sz w:val="14"/>
        </w:rPr>
        <w:t xml:space="preserve"> abstracts in scientific conferences worldwide</w:t>
      </w:r>
      <w:r>
        <w:rPr>
          <w:rFonts w:ascii="Arial"/>
          <w:sz w:val="14"/>
        </w:rPr>
        <w:t>. He is currently the chief resident of neurology at University of Massachusetts Medical School. His focus of research is mainly clinical research in general neurology and basic aspects of neurodegenerative disorders.</w:t>
      </w:r>
    </w:p>
    <w:p w:rsidR="00AE3E37" w:rsidRPr="00E96802" w:rsidRDefault="00A9710C" w:rsidP="00E96802">
      <w:pPr>
        <w:spacing w:before="62"/>
        <w:ind w:left="4217" w:right="360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1374DF" w:rsidRPr="00BE2F82">
          <w:rPr>
            <w:rStyle w:val="Hyperlink"/>
            <w:rFonts w:ascii="Arial"/>
            <w:sz w:val="14"/>
          </w:rPr>
          <w:t>mehdi.ghasemi@umaessmemorial.org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7AAB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E96802" w:rsidSect="001374DF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747" w:rsidRDefault="00953747">
      <w:r>
        <w:separator/>
      </w:r>
    </w:p>
  </w:endnote>
  <w:endnote w:type="continuationSeparator" w:id="0">
    <w:p w:rsidR="00953747" w:rsidRDefault="0095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747" w:rsidRDefault="00953747">
      <w:r>
        <w:separator/>
      </w:r>
    </w:p>
  </w:footnote>
  <w:footnote w:type="continuationSeparator" w:id="0">
    <w:p w:rsidR="00953747" w:rsidRDefault="009537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116976" w:rsidRDefault="00AE3E37">
    <w:pPr>
      <w:pStyle w:val="BodyText"/>
      <w:spacing w:line="14" w:lineRule="auto"/>
      <w:rPr>
        <w:color w:val="000000" w:themeColor="text1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7AE6BE7"/>
    <w:multiLevelType w:val="hybridMultilevel"/>
    <w:tmpl w:val="9C921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16976"/>
    <w:rsid w:val="001263DF"/>
    <w:rsid w:val="001374DF"/>
    <w:rsid w:val="00292ED9"/>
    <w:rsid w:val="00404E5B"/>
    <w:rsid w:val="00414F7B"/>
    <w:rsid w:val="004355DC"/>
    <w:rsid w:val="004749B4"/>
    <w:rsid w:val="00494130"/>
    <w:rsid w:val="004F3523"/>
    <w:rsid w:val="00582D4C"/>
    <w:rsid w:val="005973B9"/>
    <w:rsid w:val="005B3A56"/>
    <w:rsid w:val="006060CE"/>
    <w:rsid w:val="0063497F"/>
    <w:rsid w:val="00873DF0"/>
    <w:rsid w:val="008756E6"/>
    <w:rsid w:val="00953747"/>
    <w:rsid w:val="009A760F"/>
    <w:rsid w:val="009B2D44"/>
    <w:rsid w:val="00A07E82"/>
    <w:rsid w:val="00A9710C"/>
    <w:rsid w:val="00AE3E37"/>
    <w:rsid w:val="00B21A57"/>
    <w:rsid w:val="00BE239E"/>
    <w:rsid w:val="00C33602"/>
    <w:rsid w:val="00CD6F55"/>
    <w:rsid w:val="00DE3104"/>
    <w:rsid w:val="00E217E5"/>
    <w:rsid w:val="00E9680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27BEC059-6DCC-4197-A0B1-9F5CD273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ehdi.ghasemi@umaessmemori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Mehdi Ghasemi</cp:lastModifiedBy>
  <cp:revision>4</cp:revision>
  <dcterms:created xsi:type="dcterms:W3CDTF">2017-04-18T19:35:00Z</dcterms:created>
  <dcterms:modified xsi:type="dcterms:W3CDTF">2017-04-18T20:07:00Z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