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F10" w:rsidRDefault="00C41F10" w:rsidP="00C41F10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96292">
        <w:rPr>
          <w:rFonts w:asciiTheme="majorBidi" w:hAnsiTheme="majorBidi" w:cstheme="majorBidi"/>
          <w:b/>
          <w:bCs/>
          <w:sz w:val="28"/>
          <w:szCs w:val="28"/>
        </w:rPr>
        <w:t>Glioblastoma multiforme. An advanced analysis of 153 patients and review of the literature.</w:t>
      </w:r>
    </w:p>
    <w:p w:rsidR="003E6C3F" w:rsidRPr="00527C74" w:rsidRDefault="003E6C3F" w:rsidP="00C41F10">
      <w:pPr>
        <w:spacing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</w:rPr>
        <w:t>Mohammad Sadegh Nikdad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Farshid Farhan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Milad Shafizadeh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Atefeh Sadat Mirmohseni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Mohsen Afarideh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Shabnam Asadi Komeleh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Marzieh Lashkari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Morsaleh Ganji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Alireza Ghajar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Saeed Shafiei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Yalda Shafizadeh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Ali Kazemian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Hooshang Saberi</w:t>
      </w:r>
      <w:r w:rsidR="00527C74"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1,2</w:t>
      </w:r>
    </w:p>
    <w:p w:rsidR="00527C74" w:rsidRPr="00527C74" w:rsidRDefault="00527C74" w:rsidP="00527C74">
      <w:pPr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  <w:vertAlign w:val="superscript"/>
        </w:rPr>
        <w:t>1</w:t>
      </w: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Neurosurgery Research Center, Tehran University of Medical Sciences, Tehran, Iran</w:t>
      </w:r>
    </w:p>
    <w:p w:rsidR="00527C74" w:rsidRPr="00527C74" w:rsidRDefault="00527C74" w:rsidP="00527C74">
      <w:pPr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  <w:vertAlign w:val="superscript"/>
        </w:rPr>
        <w:t>2</w:t>
      </w: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Department of Neurosurgery, Tehran University of Medical Sciences, Tehran, Iran</w:t>
      </w:r>
    </w:p>
    <w:p w:rsidR="00527C74" w:rsidRPr="00527C74" w:rsidRDefault="00527C74" w:rsidP="00527C74">
      <w:pPr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  <w:vertAlign w:val="superscript"/>
        </w:rPr>
        <w:t>3</w:t>
      </w:r>
      <w:r w:rsidRPr="00527C74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Department of Radiation Oncology, Cancer Institute, Tehran University of Medical Sciences, Tehran, Iran.</w:t>
      </w:r>
    </w:p>
    <w:p w:rsidR="00527C74" w:rsidRPr="00527C74" w:rsidRDefault="00527C74" w:rsidP="00527C74">
      <w:pPr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4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Department of Pathology and Laboratory Medicine, Emory University School of Medicine, Atlanta, GA 30322 USA</w:t>
      </w:r>
    </w:p>
    <w:p w:rsidR="003E6C3F" w:rsidRPr="00527C74" w:rsidRDefault="00527C74" w:rsidP="00527C74">
      <w:pPr>
        <w:pStyle w:val="NormalWeb"/>
        <w:spacing w:before="0" w:beforeAutospacing="0" w:after="0" w:afterAutospacing="0" w:line="312" w:lineRule="atLeast"/>
        <w:textAlignment w:val="baseline"/>
        <w:rPr>
          <w:rFonts w:asciiTheme="majorBidi" w:hAnsiTheme="majorBidi" w:cstheme="majorBidi"/>
          <w:b/>
          <w:bCs/>
          <w:sz w:val="20"/>
          <w:szCs w:val="20"/>
        </w:rPr>
      </w:pPr>
      <w:r w:rsidRPr="00527C74">
        <w:rPr>
          <w:rFonts w:asciiTheme="majorBidi" w:hAnsiTheme="majorBidi" w:cstheme="majorBidi"/>
          <w:b/>
          <w:bCs/>
          <w:sz w:val="20"/>
          <w:szCs w:val="20"/>
          <w:bdr w:val="none" w:sz="0" w:space="0" w:color="auto" w:frame="1"/>
          <w:vertAlign w:val="superscript"/>
        </w:rPr>
        <w:t>*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 xml:space="preserve">Correspondence to: </w:t>
      </w:r>
      <w:r w:rsidRPr="00527C74">
        <w:rPr>
          <w:rFonts w:asciiTheme="majorBidi" w:hAnsiTheme="majorBidi" w:cstheme="majorBidi"/>
          <w:b/>
          <w:bCs/>
          <w:sz w:val="20"/>
          <w:szCs w:val="20"/>
          <w:u w:val="single"/>
        </w:rPr>
        <w:t>Farshid Farhan MD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, Cancer Research Center, Cancer Institute, Tehran University of Medical Sciences</w:t>
      </w:r>
      <w:r w:rsidRPr="00527C74">
        <w:rPr>
          <w:rStyle w:val="apple-converted-space"/>
          <w:rFonts w:asciiTheme="majorBidi" w:hAnsiTheme="majorBidi" w:cstheme="majorBidi"/>
          <w:b/>
          <w:bCs/>
          <w:sz w:val="20"/>
          <w:szCs w:val="20"/>
        </w:rPr>
        <w:t> </w:t>
      </w:r>
      <w:r w:rsidRPr="00527C74">
        <w:rPr>
          <w:rFonts w:asciiTheme="majorBidi" w:hAnsiTheme="majorBidi" w:cstheme="majorBidi"/>
          <w:b/>
          <w:bCs/>
          <w:sz w:val="20"/>
          <w:szCs w:val="20"/>
        </w:rPr>
        <w:t>P.O.BOX 14155-6447 Tehran, Iran</w:t>
      </w:r>
    </w:p>
    <w:p w:rsidR="00527C74" w:rsidRPr="00527C74" w:rsidRDefault="00527C74" w:rsidP="00527C74">
      <w:pPr>
        <w:pStyle w:val="NormalWeb"/>
        <w:spacing w:before="0" w:beforeAutospacing="0" w:after="0" w:afterAutospacing="0" w:line="312" w:lineRule="atLeast"/>
        <w:textAlignment w:val="baseline"/>
        <w:rPr>
          <w:rFonts w:asciiTheme="majorBidi" w:hAnsiTheme="majorBidi" w:cstheme="majorBidi"/>
          <w:sz w:val="22"/>
          <w:szCs w:val="22"/>
        </w:rPr>
      </w:pPr>
    </w:p>
    <w:p w:rsidR="00C41F10" w:rsidRDefault="00C41F10" w:rsidP="00C41F10">
      <w:pPr>
        <w:pStyle w:val="Level1"/>
        <w:bidi w:val="0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94169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Glioblastoma multiforme (GBM) is </w:t>
      </w:r>
      <w:r w:rsidRPr="00941694">
        <w:rPr>
          <w:rFonts w:ascii="Times New Roman (Theme Headings" w:hAnsi="Times New Roman (Theme Headings" w:cstheme="majorBidi"/>
          <w:b w:val="0"/>
          <w:bCs w:val="0"/>
          <w:sz w:val="24"/>
          <w:szCs w:val="24"/>
        </w:rPr>
        <w:t>an</w:t>
      </w:r>
      <w:r w:rsidRPr="0094169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aggressive primary tumor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with frequent recurrences </w:t>
      </w:r>
      <w:r w:rsidRPr="0094169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that leaves patients with a short survival time and a low quality of life. </w:t>
      </w:r>
      <w:r w:rsidRPr="00196292">
        <w:rPr>
          <w:rFonts w:asciiTheme="majorBidi" w:hAnsiTheme="majorBidi" w:cstheme="majorBidi"/>
          <w:b w:val="0"/>
          <w:bCs w:val="0"/>
          <w:sz w:val="24"/>
          <w:szCs w:val="24"/>
        </w:rPr>
        <w:t>The aim of this study was to review prognostic factors in patients with glioblastoma multiforme.</w:t>
      </w:r>
    </w:p>
    <w:p w:rsidR="00C41F10" w:rsidRDefault="00C41F10" w:rsidP="00C41F10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86BA4">
        <w:rPr>
          <w:rFonts w:asciiTheme="majorBidi" w:hAnsiTheme="majorBidi" w:cstheme="majorBidi"/>
          <w:sz w:val="24"/>
          <w:szCs w:val="24"/>
        </w:rPr>
        <w:t xml:space="preserve">The focus of this retrospective study </w:t>
      </w:r>
      <w:r>
        <w:rPr>
          <w:rFonts w:asciiTheme="majorBidi" w:hAnsiTheme="majorBidi" w:cstheme="majorBidi"/>
          <w:sz w:val="24"/>
          <w:szCs w:val="24"/>
        </w:rPr>
        <w:t>was</w:t>
      </w:r>
      <w:r w:rsidRPr="00E86BA4">
        <w:rPr>
          <w:rFonts w:asciiTheme="majorBidi" w:hAnsiTheme="majorBidi" w:cstheme="majorBidi"/>
          <w:sz w:val="24"/>
          <w:szCs w:val="24"/>
        </w:rPr>
        <w:t xml:space="preserve"> a group of 153 patients with supratentorial GBM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tumors, who were admitted in a tertiary-care referral academic center from 2005 to 2013. Factors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associated with survival and local recurrence were assessed using the hazard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ratio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(HR) function of Cox proportional hazards regression and neural network analysis.</w:t>
      </w:r>
    </w:p>
    <w:p w:rsidR="00C41F10" w:rsidRPr="00E86BA4" w:rsidRDefault="00C41F10" w:rsidP="003E6C3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86BA4">
        <w:rPr>
          <w:rFonts w:asciiTheme="majorBidi" w:hAnsiTheme="majorBidi" w:cstheme="majorBidi"/>
          <w:sz w:val="24"/>
          <w:szCs w:val="24"/>
        </w:rPr>
        <w:t>Of the 153 patients, 99 patients (64.7%) were male. The average age of patients was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55.69 ± 15.10 years. The median overall survival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(OS) and pr</w:t>
      </w:r>
      <w:r>
        <w:rPr>
          <w:rFonts w:asciiTheme="majorBidi" w:hAnsiTheme="majorBidi" w:cstheme="majorBidi"/>
          <w:sz w:val="24"/>
          <w:szCs w:val="24"/>
        </w:rPr>
        <w:t xml:space="preserve">ogression-free survival (PFS) </w:t>
      </w:r>
      <w:r w:rsidRPr="00E86BA4">
        <w:rPr>
          <w:rFonts w:asciiTheme="majorBidi" w:hAnsiTheme="majorBidi" w:cstheme="majorBidi"/>
          <w:sz w:val="24"/>
          <w:szCs w:val="24"/>
        </w:rPr>
        <w:t>were 14.0 and 7.10 months, respectively. In the multivariate analysis, age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(HR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=2.939,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&lt;0.001), operative method (HR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=7.</w:t>
      </w:r>
      <w:r>
        <w:rPr>
          <w:rFonts w:asciiTheme="majorBidi" w:hAnsiTheme="majorBidi" w:cstheme="majorBidi"/>
          <w:sz w:val="24"/>
          <w:szCs w:val="24"/>
        </w:rPr>
        <w:t xml:space="preserve">416, P &lt;0.001), temozolomide (TMZ, </w:t>
      </w:r>
      <w:r w:rsidRPr="00E86BA4">
        <w:rPr>
          <w:rFonts w:asciiTheme="majorBidi" w:hAnsiTheme="majorBidi" w:cstheme="majorBidi"/>
          <w:sz w:val="24"/>
          <w:szCs w:val="24"/>
        </w:rPr>
        <w:t>HR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=11.723,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&lt; 0.001), lomustine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(CCNU,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HR=</w:t>
      </w:r>
      <w:r>
        <w:rPr>
          <w:rFonts w:asciiTheme="majorBidi" w:hAnsiTheme="majorBidi" w:cstheme="majorBidi"/>
          <w:sz w:val="24"/>
          <w:szCs w:val="24"/>
        </w:rPr>
        <w:t xml:space="preserve"> 8.139, P &lt;0.001), occipital lobe </w:t>
      </w:r>
      <w:r w:rsidRPr="00E86BA4">
        <w:rPr>
          <w:rFonts w:asciiTheme="majorBidi" w:hAnsiTheme="majorBidi" w:cstheme="majorBidi"/>
          <w:sz w:val="24"/>
          <w:szCs w:val="24"/>
        </w:rPr>
        <w:t>involvement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(HR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=3.088,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&lt;0.001) and Karnofsky Performanc</w:t>
      </w:r>
      <w:r>
        <w:rPr>
          <w:rFonts w:asciiTheme="majorBidi" w:hAnsiTheme="majorBidi" w:cstheme="majorBidi"/>
          <w:sz w:val="24"/>
          <w:szCs w:val="24"/>
        </w:rPr>
        <w:t xml:space="preserve">e Status (KPS, HR=4.831, P &lt;0.001) </w:t>
      </w:r>
      <w:r w:rsidRPr="00E86BA4">
        <w:rPr>
          <w:rFonts w:asciiTheme="majorBidi" w:hAnsiTheme="majorBidi" w:cstheme="majorBidi"/>
          <w:sz w:val="24"/>
          <w:szCs w:val="24"/>
        </w:rPr>
        <w:t>were shown to be significantly associated with a high</w:t>
      </w:r>
      <w:r>
        <w:rPr>
          <w:rFonts w:asciiTheme="majorBidi" w:hAnsiTheme="majorBidi" w:cstheme="majorBidi"/>
          <w:sz w:val="24"/>
          <w:szCs w:val="24"/>
        </w:rPr>
        <w:t xml:space="preserve">er OS rate. Furthermore, higher </w:t>
      </w:r>
      <w:r w:rsidRPr="00E86BA4">
        <w:rPr>
          <w:rFonts w:asciiTheme="majorBidi" w:hAnsiTheme="majorBidi" w:cstheme="majorBidi"/>
          <w:sz w:val="24"/>
          <w:szCs w:val="24"/>
        </w:rPr>
        <w:t>KPS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(HR=7.292,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&lt;0.001), operative metho</w:t>
      </w:r>
      <w:r>
        <w:rPr>
          <w:rFonts w:asciiTheme="majorBidi" w:hAnsiTheme="majorBidi" w:cstheme="majorBidi"/>
          <w:sz w:val="24"/>
          <w:szCs w:val="24"/>
        </w:rPr>
        <w:t xml:space="preserve">d (HR =0.493, P =0.005), the use of </w:t>
      </w:r>
      <w:r w:rsidRPr="00E86BA4">
        <w:rPr>
          <w:rFonts w:asciiTheme="majorBidi" w:hAnsiTheme="majorBidi" w:cstheme="majorBidi"/>
          <w:sz w:val="24"/>
          <w:szCs w:val="24"/>
        </w:rPr>
        <w:t>CCNU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(HR=2.047,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86BA4">
        <w:rPr>
          <w:rFonts w:asciiTheme="majorBidi" w:hAnsiTheme="majorBidi" w:cstheme="majorBidi"/>
          <w:sz w:val="24"/>
          <w:szCs w:val="24"/>
        </w:rPr>
        <w:t>=0.003) and resection vs. chemothe</w:t>
      </w:r>
      <w:r>
        <w:rPr>
          <w:rFonts w:asciiTheme="majorBidi" w:hAnsiTheme="majorBidi" w:cstheme="majorBidi"/>
          <w:sz w:val="24"/>
          <w:szCs w:val="24"/>
        </w:rPr>
        <w:t xml:space="preserve">rapy (HR =0.171, P &lt;0.001) were the </w:t>
      </w:r>
      <w:r w:rsidRPr="00E86BA4">
        <w:rPr>
          <w:rFonts w:asciiTheme="majorBidi" w:hAnsiTheme="majorBidi" w:cstheme="majorBidi"/>
          <w:sz w:val="24"/>
          <w:szCs w:val="24"/>
        </w:rPr>
        <w:t>significant factors associated with local recurrence of tumor.</w:t>
      </w:r>
    </w:p>
    <w:p w:rsidR="00527C74" w:rsidRDefault="00C41F10" w:rsidP="00527C7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Our findings suggest </w:t>
      </w:r>
      <w:r w:rsidRPr="00941694">
        <w:rPr>
          <w:rFonts w:asciiTheme="majorBidi" w:hAnsiTheme="majorBidi" w:cstheme="majorBidi"/>
          <w:sz w:val="24"/>
          <w:szCs w:val="24"/>
        </w:rPr>
        <w:t xml:space="preserve">that </w:t>
      </w:r>
      <w:r>
        <w:rPr>
          <w:rFonts w:asciiTheme="majorBidi" w:hAnsiTheme="majorBidi" w:cstheme="majorBidi"/>
          <w:sz w:val="24"/>
          <w:szCs w:val="24"/>
        </w:rPr>
        <w:t>the use of CCNU and</w:t>
      </w:r>
      <w:r w:rsidRPr="00941694">
        <w:rPr>
          <w:rFonts w:asciiTheme="majorBidi" w:hAnsiTheme="majorBidi" w:cstheme="majorBidi"/>
          <w:sz w:val="24"/>
          <w:szCs w:val="24"/>
        </w:rPr>
        <w:t xml:space="preserve"> TMZ, </w:t>
      </w:r>
      <w:r>
        <w:rPr>
          <w:rFonts w:asciiTheme="majorBidi" w:hAnsiTheme="majorBidi" w:cstheme="majorBidi"/>
          <w:sz w:val="24"/>
          <w:szCs w:val="24"/>
        </w:rPr>
        <w:t xml:space="preserve">operative method and higher KPS readings </w:t>
      </w:r>
      <w:r w:rsidRPr="00941694">
        <w:rPr>
          <w:rFonts w:asciiTheme="majorBidi" w:hAnsiTheme="majorBidi" w:cstheme="majorBidi"/>
          <w:sz w:val="24"/>
          <w:szCs w:val="24"/>
        </w:rPr>
        <w:t xml:space="preserve">are associated with both </w:t>
      </w:r>
      <w:r>
        <w:rPr>
          <w:rFonts w:asciiTheme="majorBidi" w:hAnsiTheme="majorBidi" w:cstheme="majorBidi"/>
          <w:sz w:val="24"/>
          <w:szCs w:val="24"/>
        </w:rPr>
        <w:t>higher</w:t>
      </w:r>
      <w:r w:rsidRPr="00941694">
        <w:rPr>
          <w:rFonts w:asciiTheme="majorBidi" w:hAnsiTheme="majorBidi" w:cstheme="majorBidi"/>
          <w:sz w:val="24"/>
          <w:szCs w:val="24"/>
        </w:rPr>
        <w:t xml:space="preserve"> survival and </w:t>
      </w:r>
      <w:r>
        <w:rPr>
          <w:rFonts w:asciiTheme="majorBidi" w:hAnsiTheme="majorBidi" w:cstheme="majorBidi"/>
          <w:sz w:val="24"/>
          <w:szCs w:val="24"/>
        </w:rPr>
        <w:t>lower</w:t>
      </w:r>
      <w:r w:rsidRPr="00941694">
        <w:rPr>
          <w:rFonts w:asciiTheme="majorBidi" w:hAnsiTheme="majorBidi" w:cstheme="majorBidi"/>
          <w:sz w:val="24"/>
          <w:szCs w:val="24"/>
        </w:rPr>
        <w:t xml:space="preserve"> local recurrence</w:t>
      </w:r>
      <w:r>
        <w:rPr>
          <w:rFonts w:asciiTheme="majorBidi" w:hAnsiTheme="majorBidi" w:cstheme="majorBidi"/>
          <w:sz w:val="24"/>
          <w:szCs w:val="24"/>
        </w:rPr>
        <w:t xml:space="preserve"> rates.</w:t>
      </w:r>
    </w:p>
    <w:p w:rsidR="003E6C3F" w:rsidRPr="00527C74" w:rsidRDefault="003E6C3F" w:rsidP="00527C7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3E6C3F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Image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</w:p>
    <w:p w:rsidR="003E6C3F" w:rsidRDefault="003E6C3F" w:rsidP="003E6C3F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23299">
        <w:rPr>
          <w:rFonts w:asciiTheme="majorBidi" w:hAnsiTheme="majorBidi" w:cstheme="majorBidi"/>
          <w:noProof/>
          <w:sz w:val="20"/>
          <w:szCs w:val="20"/>
          <w:shd w:val="clear" w:color="auto" w:fill="FFFFFF"/>
        </w:rPr>
        <w:drawing>
          <wp:inline distT="0" distB="0" distL="0" distR="0" wp14:anchorId="2FE812F6" wp14:editId="752C2E19">
            <wp:extent cx="5943600" cy="4756150"/>
            <wp:effectExtent l="0" t="0" r="0" b="6350"/>
            <wp:docPr id="6" name="Picture 6" descr="C:\Users\MEDLIB\Desktop\neural network survi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DLIB\Desktop\neural network surviva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C3F" w:rsidRPr="003E6C3F" w:rsidRDefault="003E6C3F" w:rsidP="003E6C3F">
      <w:pPr>
        <w:jc w:val="center"/>
        <w:rPr>
          <w:rFonts w:asciiTheme="majorBidi" w:hAnsiTheme="majorBidi" w:cstheme="majorBidi"/>
          <w:sz w:val="24"/>
          <w:szCs w:val="24"/>
        </w:rPr>
      </w:pPr>
      <w:r w:rsidRPr="0068796B">
        <w:rPr>
          <w:rFonts w:asciiTheme="majorBidi" w:hAnsiTheme="majorBidi" w:cstheme="majorBidi"/>
          <w:sz w:val="20"/>
          <w:szCs w:val="20"/>
          <w:shd w:val="clear" w:color="auto" w:fill="FFFFFF"/>
        </w:rPr>
        <w:t xml:space="preserve">Result of neural network analysis for predicting survival. Input </w:t>
      </w:r>
      <w:r w:rsidRPr="0068796B">
        <w:rPr>
          <w:rFonts w:ascii="Times New Roman" w:hAnsi="Times New Roman" w:cs="Times New Roman"/>
          <w:sz w:val="20"/>
          <w:szCs w:val="20"/>
        </w:rPr>
        <w:t>variables are which had impact on survival on multivariate analysis fro</w:t>
      </w:r>
      <w:r>
        <w:rPr>
          <w:rFonts w:ascii="Times New Roman" w:hAnsi="Times New Roman" w:cs="Times New Roman"/>
          <w:sz w:val="20"/>
          <w:szCs w:val="20"/>
        </w:rPr>
        <w:t xml:space="preserve">m Cox regression model analysis. </w:t>
      </w:r>
      <w:r w:rsidRPr="0068796B">
        <w:rPr>
          <w:rFonts w:ascii="Times New Roman" w:hAnsi="Times New Roman" w:cs="Times New Roman"/>
          <w:sz w:val="20"/>
          <w:szCs w:val="20"/>
        </w:rPr>
        <w:t xml:space="preserve">We found the importance of the variables to predict survival as; </w:t>
      </w:r>
      <w:r w:rsidRPr="00011BA8">
        <w:rPr>
          <w:rFonts w:ascii="Times New Roman" w:hAnsi="Times New Roman" w:cs="Times New Roman"/>
          <w:sz w:val="20"/>
          <w:szCs w:val="20"/>
        </w:rPr>
        <w:t xml:space="preserve">KPS=30.6%, </w:t>
      </w:r>
      <w:r>
        <w:rPr>
          <w:rFonts w:asciiTheme="majorBidi" w:hAnsiTheme="majorBidi" w:cstheme="majorBidi"/>
          <w:sz w:val="20"/>
          <w:szCs w:val="20"/>
        </w:rPr>
        <w:t>operative</w:t>
      </w:r>
      <w:r w:rsidRPr="00011BA8">
        <w:rPr>
          <w:rFonts w:asciiTheme="majorBidi" w:hAnsiTheme="majorBidi" w:cstheme="majorBidi"/>
          <w:sz w:val="20"/>
          <w:szCs w:val="20"/>
        </w:rPr>
        <w:t xml:space="preserve"> method=20.4%, TMZ=17.0%, CCNU=15.0%, age=13.5%, and occipital lobe involvement=3.6%</w:t>
      </w:r>
      <w:r>
        <w:rPr>
          <w:rFonts w:asciiTheme="majorBidi" w:hAnsiTheme="majorBidi" w:cstheme="majorBidi"/>
          <w:sz w:val="20"/>
          <w:szCs w:val="20"/>
        </w:rPr>
        <w:t>.</w:t>
      </w:r>
      <w:r w:rsidRPr="00011BA8">
        <w:rPr>
          <w:rFonts w:asciiTheme="majorBidi" w:hAnsiTheme="majorBidi" w:cstheme="majorBidi"/>
          <w:sz w:val="20"/>
          <w:szCs w:val="20"/>
        </w:rPr>
        <w:t xml:space="preserve"> In this model 4 hidden layers entered calculation.</w:t>
      </w:r>
    </w:p>
    <w:sectPr w:rsidR="003E6C3F" w:rsidRPr="003E6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Times New Roman"/>
    <w:panose1 w:val="00000000000000000000"/>
    <w:charset w:val="00"/>
    <w:family w:val="roman"/>
    <w:notTrueType/>
    <w:pitch w:val="default"/>
  </w:font>
  <w:font w:name="Times New Roman (Theme Heading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E0799"/>
    <w:multiLevelType w:val="hybridMultilevel"/>
    <w:tmpl w:val="4002F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D7B32"/>
    <w:multiLevelType w:val="multilevel"/>
    <w:tmpl w:val="F328F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C71B0A"/>
    <w:multiLevelType w:val="hybridMultilevel"/>
    <w:tmpl w:val="75B4EA5E"/>
    <w:lvl w:ilvl="0" w:tplc="B1DCB87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A7"/>
    <w:rsid w:val="002E5B9B"/>
    <w:rsid w:val="003E6C3F"/>
    <w:rsid w:val="00527C74"/>
    <w:rsid w:val="00A333A7"/>
    <w:rsid w:val="00C4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C1CD9B-A9A4-4205-8F76-9EF73AEC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1"/>
    <w:basedOn w:val="NoSpacing"/>
    <w:link w:val="Level1Char"/>
    <w:qFormat/>
    <w:rsid w:val="00C41F10"/>
    <w:pPr>
      <w:bidi/>
      <w:spacing w:line="360" w:lineRule="auto"/>
    </w:pPr>
    <w:rPr>
      <w:rFonts w:cs="B Nazanin"/>
      <w:b/>
      <w:bCs/>
      <w:sz w:val="32"/>
      <w:szCs w:val="32"/>
      <w:lang w:bidi="fa-IR"/>
    </w:rPr>
  </w:style>
  <w:style w:type="character" w:customStyle="1" w:styleId="Level1Char">
    <w:name w:val="Level1 Char"/>
    <w:basedOn w:val="DefaultParagraphFont"/>
    <w:link w:val="Level1"/>
    <w:rsid w:val="00C41F10"/>
    <w:rPr>
      <w:rFonts w:cs="B Nazanin"/>
      <w:b/>
      <w:bCs/>
      <w:sz w:val="32"/>
      <w:szCs w:val="32"/>
      <w:lang w:bidi="fa-IR"/>
    </w:rPr>
  </w:style>
  <w:style w:type="paragraph" w:styleId="NoSpacing">
    <w:name w:val="No Spacing"/>
    <w:uiPriority w:val="1"/>
    <w:qFormat/>
    <w:rsid w:val="00C41F1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41F1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41F10"/>
  </w:style>
  <w:style w:type="character" w:customStyle="1" w:styleId="name">
    <w:name w:val="name"/>
    <w:basedOn w:val="DefaultParagraphFont"/>
    <w:rsid w:val="00C41F10"/>
  </w:style>
  <w:style w:type="paragraph" w:styleId="NormalWeb">
    <w:name w:val="Normal (Web)"/>
    <w:basedOn w:val="Normal"/>
    <w:uiPriority w:val="99"/>
    <w:unhideWhenUsed/>
    <w:rsid w:val="0052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MEDLIB</dc:creator>
  <cp:keywords/>
  <dc:description/>
  <cp:lastModifiedBy>MEDLIB</cp:lastModifiedBy>
  <cp:revision>2</cp:revision>
  <dcterms:created xsi:type="dcterms:W3CDTF">2017-04-10T22:49:00Z</dcterms:created>
  <dcterms:modified xsi:type="dcterms:W3CDTF">2017-04-10T23:14:00Z</dcterms:modified>
</cp:coreProperties>
</file>