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0E8D5D" w14:textId="77777777" w:rsidR="00F24A77" w:rsidRDefault="00F24A77" w:rsidP="00D67667">
      <w:pPr>
        <w:pStyle w:val="BodyText"/>
        <w:spacing w:before="73" w:line="198" w:lineRule="exact"/>
        <w:ind w:left="100" w:right="5987"/>
        <w:rPr>
          <w:rFonts w:ascii="Minion Pro" w:eastAsia="Minion Pro" w:hAnsi="Minion Pro" w:cs="Minion Pro"/>
          <w:b/>
          <w:bCs/>
          <w:color w:val="337AB7"/>
          <w:sz w:val="36"/>
          <w:szCs w:val="36"/>
        </w:rPr>
      </w:pPr>
    </w:p>
    <w:p w14:paraId="155202A1" w14:textId="77777777" w:rsidR="00F24A77" w:rsidRPr="000E4945" w:rsidRDefault="00F24A77" w:rsidP="00D67667">
      <w:pPr>
        <w:pStyle w:val="BodyText"/>
        <w:spacing w:before="73" w:line="198" w:lineRule="exact"/>
        <w:ind w:left="100" w:right="5987"/>
        <w:rPr>
          <w:rFonts w:ascii="Times New Roman" w:eastAsia="Minion Pro" w:hAnsi="Times New Roman" w:cs="Times New Roman"/>
          <w:b/>
          <w:bCs/>
          <w:color w:val="000000" w:themeColor="text1"/>
          <w:sz w:val="36"/>
          <w:szCs w:val="36"/>
        </w:rPr>
      </w:pPr>
    </w:p>
    <w:p w14:paraId="501E25FB" w14:textId="4A21E35A" w:rsidR="00F24A77" w:rsidRPr="000E4945" w:rsidRDefault="009F64F8" w:rsidP="000E4945">
      <w:pPr>
        <w:pStyle w:val="BodyText"/>
        <w:spacing w:before="73"/>
        <w:ind w:right="-20"/>
        <w:jc w:val="both"/>
        <w:rPr>
          <w:rFonts w:ascii="Times New Roman" w:hAnsi="Times New Roman" w:cs="Times New Roman"/>
          <w:color w:val="000000" w:themeColor="text1"/>
        </w:rPr>
      </w:pPr>
      <w:r w:rsidRPr="000E4945">
        <w:rPr>
          <w:rFonts w:ascii="Times New Roman" w:hAnsi="Times New Roman" w:cs="Times New Roman"/>
          <w:color w:val="000000" w:themeColor="text1"/>
          <w:sz w:val="36"/>
        </w:rPr>
        <w:t>The Association of Neutrophi</w:t>
      </w:r>
      <w:r w:rsidR="00D33A9A">
        <w:rPr>
          <w:rFonts w:ascii="Times New Roman" w:hAnsi="Times New Roman" w:cs="Times New Roman"/>
          <w:color w:val="000000" w:themeColor="text1"/>
          <w:sz w:val="36"/>
        </w:rPr>
        <w:t>l-</w:t>
      </w:r>
      <w:r w:rsidRPr="000E4945">
        <w:rPr>
          <w:rFonts w:ascii="Times New Roman" w:hAnsi="Times New Roman" w:cs="Times New Roman"/>
          <w:color w:val="000000" w:themeColor="text1"/>
          <w:sz w:val="36"/>
        </w:rPr>
        <w:t>Lymphocyte Ratio with the 30-day Mortality among Patients with Acute Ischemic Stroke</w:t>
      </w:r>
    </w:p>
    <w:p w14:paraId="1281F2FB" w14:textId="77777777" w:rsidR="00920301" w:rsidRPr="000E4945" w:rsidRDefault="00920301" w:rsidP="00920301">
      <w:pPr>
        <w:pStyle w:val="BodyText"/>
        <w:spacing w:before="3"/>
        <w:rPr>
          <w:rFonts w:ascii="Times New Roman" w:hAnsi="Times New Roman" w:cs="Times New Roman"/>
          <w:color w:val="000000" w:themeColor="text1"/>
          <w:sz w:val="21"/>
        </w:rPr>
      </w:pPr>
    </w:p>
    <w:p w14:paraId="1BC7FE09" w14:textId="77777777" w:rsidR="00920301" w:rsidRPr="000E4945" w:rsidRDefault="00920301" w:rsidP="00920301">
      <w:pPr>
        <w:pStyle w:val="BodyText"/>
        <w:spacing w:before="3"/>
        <w:rPr>
          <w:rFonts w:ascii="Times New Roman" w:hAnsi="Times New Roman" w:cs="Times New Roman"/>
          <w:color w:val="000000" w:themeColor="text1"/>
          <w:sz w:val="21"/>
        </w:rPr>
      </w:pPr>
      <w:proofErr w:type="spellStart"/>
      <w:r w:rsidRPr="000E4945">
        <w:rPr>
          <w:rFonts w:ascii="Times New Roman" w:hAnsi="Times New Roman" w:cs="Times New Roman"/>
          <w:color w:val="000000" w:themeColor="text1"/>
          <w:sz w:val="21"/>
        </w:rPr>
        <w:t>Euodia</w:t>
      </w:r>
      <w:proofErr w:type="spellEnd"/>
      <w:r w:rsidRPr="000E4945">
        <w:rPr>
          <w:rFonts w:ascii="Times New Roman" w:hAnsi="Times New Roman" w:cs="Times New Roman"/>
          <w:color w:val="000000" w:themeColor="text1"/>
          <w:sz w:val="21"/>
        </w:rPr>
        <w:t xml:space="preserve"> P. </w:t>
      </w:r>
      <w:proofErr w:type="spellStart"/>
      <w:r w:rsidRPr="000E4945">
        <w:rPr>
          <w:rFonts w:ascii="Times New Roman" w:hAnsi="Times New Roman" w:cs="Times New Roman"/>
          <w:color w:val="000000" w:themeColor="text1"/>
          <w:sz w:val="21"/>
        </w:rPr>
        <w:t>Guinmapang</w:t>
      </w:r>
      <w:proofErr w:type="spellEnd"/>
      <w:r w:rsidRPr="000E4945">
        <w:rPr>
          <w:rFonts w:ascii="Times New Roman" w:hAnsi="Times New Roman" w:cs="Times New Roman"/>
          <w:color w:val="000000" w:themeColor="text1"/>
          <w:sz w:val="21"/>
        </w:rPr>
        <w:t xml:space="preserve"> MD, DPCP</w:t>
      </w:r>
    </w:p>
    <w:p w14:paraId="0D382F68" w14:textId="77777777" w:rsidR="00920301" w:rsidRPr="000E4945" w:rsidRDefault="00920301" w:rsidP="00920301">
      <w:pPr>
        <w:pStyle w:val="BodyText"/>
        <w:spacing w:before="3"/>
        <w:rPr>
          <w:rFonts w:ascii="Times New Roman" w:hAnsi="Times New Roman" w:cs="Times New Roman"/>
          <w:color w:val="000000" w:themeColor="text1"/>
          <w:sz w:val="21"/>
        </w:rPr>
      </w:pPr>
      <w:r w:rsidRPr="000E4945">
        <w:rPr>
          <w:rFonts w:ascii="Times New Roman" w:hAnsi="Times New Roman" w:cs="Times New Roman"/>
          <w:color w:val="000000" w:themeColor="text1"/>
          <w:sz w:val="21"/>
        </w:rPr>
        <w:t xml:space="preserve">Marietta C. </w:t>
      </w:r>
      <w:proofErr w:type="spellStart"/>
      <w:r w:rsidRPr="000E4945">
        <w:rPr>
          <w:rFonts w:ascii="Times New Roman" w:hAnsi="Times New Roman" w:cs="Times New Roman"/>
          <w:color w:val="000000" w:themeColor="text1"/>
          <w:sz w:val="21"/>
        </w:rPr>
        <w:t>Olaivar</w:t>
      </w:r>
      <w:proofErr w:type="spellEnd"/>
      <w:r w:rsidRPr="000E4945">
        <w:rPr>
          <w:rFonts w:ascii="Times New Roman" w:hAnsi="Times New Roman" w:cs="Times New Roman"/>
          <w:color w:val="000000" w:themeColor="text1"/>
          <w:sz w:val="21"/>
        </w:rPr>
        <w:t xml:space="preserve"> MD, FPCP, FPNA</w:t>
      </w:r>
    </w:p>
    <w:p w14:paraId="77DC358E" w14:textId="25EC9762" w:rsidR="00AE3E37" w:rsidRPr="000E4945" w:rsidRDefault="00920301" w:rsidP="000E4945">
      <w:pPr>
        <w:pStyle w:val="BodyText"/>
        <w:spacing w:before="3"/>
        <w:rPr>
          <w:rFonts w:ascii="Times New Roman" w:hAnsi="Times New Roman" w:cs="Times New Roman"/>
          <w:color w:val="000000" w:themeColor="text1"/>
          <w:sz w:val="21"/>
        </w:rPr>
        <w:sectPr w:rsidR="00AE3E37" w:rsidRPr="000E4945" w:rsidSect="00F24A77">
          <w:headerReference w:type="default" r:id="rId7"/>
          <w:footerReference w:type="default" r:id="rId8"/>
          <w:type w:val="continuous"/>
          <w:pgSz w:w="11910" w:h="16840"/>
          <w:pgMar w:top="622" w:right="600" w:bottom="840" w:left="620" w:header="541" w:footer="642" w:gutter="0"/>
          <w:cols w:space="720"/>
        </w:sectPr>
      </w:pPr>
      <w:r w:rsidRPr="000E4945">
        <w:rPr>
          <w:rFonts w:ascii="Times New Roman" w:hAnsi="Times New Roman" w:cs="Times New Roman"/>
          <w:color w:val="000000" w:themeColor="text1"/>
          <w:sz w:val="21"/>
        </w:rPr>
        <w:t>Alexander D. Abe MD, FPCP, FPNA</w:t>
      </w:r>
    </w:p>
    <w:p w14:paraId="37155C12" w14:textId="77777777" w:rsidR="000E4945" w:rsidRPr="00976580" w:rsidRDefault="000E4945" w:rsidP="000E4945">
      <w:pPr>
        <w:pStyle w:val="Heading3"/>
        <w:spacing w:before="74"/>
        <w:ind w:left="0"/>
        <w:jc w:val="both"/>
        <w:rPr>
          <w:rFonts w:ascii="Times New Roman" w:hAnsi="Times New Roman" w:cs="Times New Roman"/>
          <w:b w:val="0"/>
          <w:color w:val="000000" w:themeColor="text1"/>
          <w:szCs w:val="18"/>
        </w:rPr>
      </w:pPr>
      <w:r w:rsidRPr="00834A5F">
        <w:rPr>
          <w:rFonts w:ascii="Times New Roman" w:hAnsi="Times New Roman" w:cs="Times New Roman"/>
          <w:color w:val="000000" w:themeColor="text1"/>
          <w:szCs w:val="18"/>
        </w:rPr>
        <w:lastRenderedPageBreak/>
        <w:t xml:space="preserve">INTRODUCTION: </w:t>
      </w:r>
      <w:r w:rsidR="002321D1" w:rsidRPr="00976580">
        <w:rPr>
          <w:rFonts w:ascii="Times New Roman" w:hAnsi="Times New Roman" w:cs="Times New Roman"/>
          <w:b w:val="0"/>
          <w:color w:val="000000" w:themeColor="text1"/>
          <w:szCs w:val="18"/>
        </w:rPr>
        <w:t xml:space="preserve">The role of inflammation in atherosclerosis has been well established over the past years. From a pathological perspective, all stages, </w:t>
      </w:r>
      <w:proofErr w:type="spellStart"/>
      <w:r w:rsidR="002321D1" w:rsidRPr="00976580">
        <w:rPr>
          <w:rFonts w:ascii="Times New Roman" w:hAnsi="Times New Roman" w:cs="Times New Roman"/>
          <w:b w:val="0"/>
          <w:color w:val="000000" w:themeColor="text1"/>
          <w:szCs w:val="18"/>
        </w:rPr>
        <w:t>ie</w:t>
      </w:r>
      <w:proofErr w:type="spellEnd"/>
      <w:r w:rsidR="002321D1" w:rsidRPr="00976580">
        <w:rPr>
          <w:rFonts w:ascii="Times New Roman" w:hAnsi="Times New Roman" w:cs="Times New Roman"/>
          <w:b w:val="0"/>
          <w:color w:val="000000" w:themeColor="text1"/>
          <w:szCs w:val="18"/>
        </w:rPr>
        <w:t>, initiation, growth, and complication of the atherosclerotic plaque might be considered to be an inflammatory response to injury. The main trend amongst cardiovascular diseases is both primary and secondary prevention. The Neutrophil-Lymphocyte Ratio (NL Ra</w:t>
      </w:r>
      <w:bookmarkStart w:id="0" w:name="_GoBack"/>
      <w:bookmarkEnd w:id="0"/>
      <w:r w:rsidR="002321D1" w:rsidRPr="00976580">
        <w:rPr>
          <w:rFonts w:ascii="Times New Roman" w:hAnsi="Times New Roman" w:cs="Times New Roman"/>
          <w:b w:val="0"/>
          <w:color w:val="000000" w:themeColor="text1"/>
          <w:szCs w:val="18"/>
        </w:rPr>
        <w:t>tio) is one of potential early markers that can be correlated to mortality or morbidity with it being a readily available, cost effective a routinely requested laboratory. The primary objective of this study is to determine the association of NL Ratio in the 30-day Mortality among patients with acute hemorrhagic and non-hemorrhagic stroke.</w:t>
      </w:r>
    </w:p>
    <w:p w14:paraId="60D0EBC0" w14:textId="52281AAE" w:rsidR="000E4945" w:rsidRPr="00976580" w:rsidRDefault="000E4945" w:rsidP="000E4945">
      <w:pPr>
        <w:pStyle w:val="Heading3"/>
        <w:spacing w:before="74"/>
        <w:ind w:left="0"/>
        <w:jc w:val="both"/>
        <w:rPr>
          <w:rFonts w:ascii="Times New Roman" w:hAnsi="Times New Roman" w:cs="Times New Roman"/>
          <w:b w:val="0"/>
          <w:color w:val="000000" w:themeColor="text1"/>
          <w:szCs w:val="18"/>
        </w:rPr>
      </w:pPr>
      <w:r w:rsidRPr="00834A5F">
        <w:rPr>
          <w:rFonts w:ascii="Times New Roman" w:hAnsi="Times New Roman" w:cs="Times New Roman"/>
          <w:color w:val="000000" w:themeColor="text1"/>
          <w:szCs w:val="18"/>
        </w:rPr>
        <w:t>METHODOLOGY:</w:t>
      </w:r>
      <w:r w:rsidRPr="00976580">
        <w:rPr>
          <w:rFonts w:ascii="Times New Roman" w:hAnsi="Times New Roman" w:cs="Times New Roman"/>
          <w:color w:val="000000" w:themeColor="text1"/>
          <w:sz w:val="21"/>
        </w:rPr>
        <w:t xml:space="preserve"> </w:t>
      </w:r>
      <w:r w:rsidRPr="00976580">
        <w:rPr>
          <w:rFonts w:ascii="Times New Roman" w:hAnsi="Times New Roman" w:cs="Times New Roman"/>
          <w:b w:val="0"/>
          <w:color w:val="000000" w:themeColor="text1"/>
          <w:szCs w:val="18"/>
        </w:rPr>
        <w:t>This is a retrospective cohort study which included 228 patients with a first episode Acute Ischemic Stroke (AIS). The demographic and clinical profiles were tabulated including co-morbidities and baseline NIHSS (National Institute Stroke Scale). The baseline NL Ratio was taken from the CBC taken within 24 hours of admission. The diagnosis of Ischemic stroke was based on clinical and imaging studies done. The length of hospital stay, recurrence of stroke and mortality was noted during the course of admission and a period of 30 day follow up records were reviewed.</w:t>
      </w:r>
    </w:p>
    <w:p w14:paraId="67946B69" w14:textId="2257C0FD" w:rsidR="000E4945" w:rsidRPr="00976580" w:rsidRDefault="000E4945" w:rsidP="000E4945">
      <w:pPr>
        <w:pStyle w:val="Heading3"/>
        <w:spacing w:before="74"/>
        <w:ind w:left="0"/>
        <w:jc w:val="both"/>
        <w:rPr>
          <w:rFonts w:ascii="Times New Roman" w:hAnsi="Times New Roman" w:cs="Times New Roman"/>
          <w:b w:val="0"/>
          <w:color w:val="000000" w:themeColor="text1"/>
          <w:szCs w:val="18"/>
          <w:lang w:val="en-PH"/>
        </w:rPr>
      </w:pPr>
      <w:r w:rsidRPr="00834A5F">
        <w:rPr>
          <w:rFonts w:ascii="Times New Roman" w:hAnsi="Times New Roman" w:cs="Times New Roman"/>
          <w:color w:val="000000" w:themeColor="text1"/>
          <w:szCs w:val="18"/>
        </w:rPr>
        <w:t xml:space="preserve">RESULTS: </w:t>
      </w:r>
      <w:r w:rsidRPr="00976580">
        <w:rPr>
          <w:rFonts w:ascii="Times New Roman" w:hAnsi="Times New Roman" w:cs="Times New Roman"/>
          <w:b w:val="0"/>
          <w:color w:val="000000" w:themeColor="text1"/>
          <w:szCs w:val="18"/>
          <w:lang w:val="en-PH"/>
        </w:rPr>
        <w:t xml:space="preserve">The group with low NL Ratio (&lt;5.9) had mostly minor to moderate strokes, while those with higher NL </w:t>
      </w:r>
      <w:proofErr w:type="gramStart"/>
      <w:r w:rsidRPr="00976580">
        <w:rPr>
          <w:rFonts w:ascii="Times New Roman" w:hAnsi="Times New Roman" w:cs="Times New Roman"/>
          <w:b w:val="0"/>
          <w:color w:val="000000" w:themeColor="text1"/>
          <w:szCs w:val="18"/>
          <w:lang w:val="en-PH"/>
        </w:rPr>
        <w:t>Ratio  (</w:t>
      </w:r>
      <w:proofErr w:type="gramEnd"/>
      <w:r w:rsidRPr="00976580">
        <w:rPr>
          <w:rFonts w:ascii="Times New Roman" w:hAnsi="Times New Roman" w:cs="Times New Roman"/>
          <w:b w:val="0"/>
          <w:color w:val="000000" w:themeColor="text1"/>
          <w:szCs w:val="18"/>
          <w:lang w:val="en-PH"/>
        </w:rPr>
        <w:t>&gt;5.9) had a similar distribution with a higher proportion for moderate and moderate to severe stroke. The median number of hospital days was longer for the high NL Ratio group. (5 versus 3 days, p = 0.012). There was a greater proportion of mortalities for the high NL Ratio group (31% versus 14%, p = 0.003). On further analysis however, upon comparing the expired and surviving patients, there was insufficient evidence to demonstrate a difference between the two groups. Also, the NIHSS has a more significant correlation to mortality as compared to the NL Ratio.</w:t>
      </w:r>
    </w:p>
    <w:p w14:paraId="7808F996" w14:textId="77777777" w:rsidR="00F131C1" w:rsidRDefault="000E4945" w:rsidP="000E4945">
      <w:pPr>
        <w:pStyle w:val="Heading3"/>
        <w:spacing w:before="74"/>
        <w:ind w:left="0"/>
        <w:jc w:val="both"/>
        <w:rPr>
          <w:rFonts w:ascii="Times New Roman" w:hAnsi="Times New Roman" w:cs="Times New Roman"/>
          <w:b w:val="0"/>
          <w:color w:val="000000" w:themeColor="text1"/>
          <w:szCs w:val="18"/>
          <w:lang w:val="en-PH"/>
        </w:rPr>
      </w:pPr>
      <w:r w:rsidRPr="00834A5F">
        <w:rPr>
          <w:rFonts w:ascii="Times New Roman" w:hAnsi="Times New Roman" w:cs="Times New Roman"/>
          <w:color w:val="000000" w:themeColor="text1"/>
          <w:szCs w:val="18"/>
          <w:lang w:val="en-PH"/>
        </w:rPr>
        <w:t>CONCLUSION:</w:t>
      </w:r>
      <w:r w:rsidRPr="00976580">
        <w:rPr>
          <w:rFonts w:ascii="Times New Roman" w:hAnsi="Times New Roman" w:cs="Times New Roman"/>
          <w:b w:val="0"/>
          <w:color w:val="000000" w:themeColor="text1"/>
          <w:szCs w:val="18"/>
          <w:lang w:val="en-PH"/>
        </w:rPr>
        <w:t xml:space="preserve"> The NL ratio has a direct proportion to patients with non-surviving patients because of its proportion to higher NIHS scale patients. It is cost effective and has the potential to be a short term mortality predictor. Compared to NIHSS however, the association of NL Ratio still lacks the direct correlation to mortality.  </w:t>
      </w:r>
    </w:p>
    <w:p w14:paraId="60F05272" w14:textId="77777777" w:rsidR="00F131C1" w:rsidRDefault="00F131C1" w:rsidP="000E4945">
      <w:pPr>
        <w:pStyle w:val="Heading3"/>
        <w:spacing w:before="74"/>
        <w:ind w:left="0"/>
        <w:jc w:val="both"/>
        <w:rPr>
          <w:rFonts w:ascii="Times New Roman" w:hAnsi="Times New Roman" w:cs="Times New Roman"/>
          <w:b w:val="0"/>
          <w:color w:val="000000" w:themeColor="text1"/>
          <w:szCs w:val="18"/>
          <w:lang w:val="en-PH"/>
        </w:rPr>
      </w:pPr>
    </w:p>
    <w:p w14:paraId="7E97BA60" w14:textId="77777777" w:rsidR="00F131C1" w:rsidRDefault="00F131C1" w:rsidP="000E4945">
      <w:pPr>
        <w:pStyle w:val="Heading3"/>
        <w:spacing w:before="74"/>
        <w:ind w:left="0"/>
        <w:jc w:val="both"/>
        <w:rPr>
          <w:rFonts w:ascii="Times New Roman" w:hAnsi="Times New Roman" w:cs="Times New Roman"/>
          <w:b w:val="0"/>
          <w:color w:val="000000" w:themeColor="text1"/>
          <w:szCs w:val="18"/>
          <w:lang w:val="en-PH"/>
        </w:rPr>
      </w:pPr>
    </w:p>
    <w:p w14:paraId="167B650A" w14:textId="1DD5E259" w:rsidR="000E4945" w:rsidRPr="00F131C1" w:rsidRDefault="000E4945" w:rsidP="000E4945">
      <w:pPr>
        <w:pStyle w:val="Heading3"/>
        <w:spacing w:before="74"/>
        <w:ind w:left="0"/>
        <w:jc w:val="both"/>
        <w:rPr>
          <w:rFonts w:ascii="Times New Roman" w:hAnsi="Times New Roman" w:cs="Times New Roman"/>
          <w:b w:val="0"/>
          <w:color w:val="000000" w:themeColor="text1"/>
          <w:szCs w:val="18"/>
        </w:rPr>
      </w:pPr>
      <w:r w:rsidRPr="00976580">
        <w:rPr>
          <w:rFonts w:ascii="Times New Roman" w:hAnsi="Times New Roman" w:cs="Times New Roman"/>
          <w:b w:val="0"/>
          <w:color w:val="000000" w:themeColor="text1"/>
          <w:szCs w:val="18"/>
          <w:lang w:val="en-PH"/>
        </w:rPr>
        <w:lastRenderedPageBreak/>
        <w:t xml:space="preserve">The determination of NL ratio invites researchers to further pursue in both acute and chronic cardiovascular diseases which </w:t>
      </w:r>
      <w:r w:rsidR="00F131C1">
        <w:rPr>
          <w:rFonts w:ascii="Times New Roman" w:hAnsi="Times New Roman" w:cs="Times New Roman"/>
          <w:b w:val="0"/>
          <w:color w:val="000000" w:themeColor="text1"/>
          <w:szCs w:val="18"/>
          <w:lang w:val="en-PH"/>
        </w:rPr>
        <w:t xml:space="preserve">may help in managing our future </w:t>
      </w:r>
      <w:r w:rsidRPr="00976580">
        <w:rPr>
          <w:rFonts w:ascii="Times New Roman" w:hAnsi="Times New Roman" w:cs="Times New Roman"/>
          <w:b w:val="0"/>
          <w:color w:val="000000" w:themeColor="text1"/>
          <w:szCs w:val="18"/>
          <w:lang w:val="en-PH"/>
        </w:rPr>
        <w:t>patients.</w:t>
      </w:r>
    </w:p>
    <w:p w14:paraId="7A2E0C99" w14:textId="1684911D" w:rsidR="00AE3E37" w:rsidRPr="000E4945" w:rsidRDefault="00A9710C" w:rsidP="000E4945">
      <w:pPr>
        <w:pStyle w:val="Heading3"/>
        <w:spacing w:before="74"/>
        <w:ind w:left="0"/>
        <w:jc w:val="both"/>
        <w:rPr>
          <w:rFonts w:ascii="Times New Roman" w:hAnsi="Times New Roman" w:cs="Times New Roman"/>
          <w:color w:val="000000" w:themeColor="text1"/>
        </w:rPr>
      </w:pPr>
      <w:r w:rsidRPr="000E4945">
        <w:rPr>
          <w:rFonts w:ascii="Times New Roman" w:hAnsi="Times New Roman" w:cs="Times New Roman"/>
          <w:color w:val="000000" w:themeColor="text1"/>
        </w:rPr>
        <w:t>Image</w:t>
      </w:r>
    </w:p>
    <w:p w14:paraId="53A631A8" w14:textId="29014D35" w:rsidR="00AE3E37" w:rsidRPr="000E4945" w:rsidRDefault="00976580">
      <w:pPr>
        <w:pStyle w:val="BodyText"/>
        <w:spacing w:before="2"/>
        <w:rPr>
          <w:rFonts w:ascii="Times New Roman" w:hAnsi="Times New Roman" w:cs="Times New Roman"/>
          <w:b/>
          <w:color w:val="000000" w:themeColor="text1"/>
          <w:sz w:val="16"/>
        </w:rPr>
      </w:pPr>
      <w:r w:rsidRPr="00976580">
        <w:rPr>
          <w:rFonts w:ascii="Times New Roman" w:hAnsi="Times New Roman" w:cs="Times New Roman"/>
          <w:b/>
          <w:color w:val="000000" w:themeColor="text1"/>
          <w:sz w:val="16"/>
        </w:rPr>
        <w:drawing>
          <wp:inline distT="0" distB="0" distL="0" distR="0" wp14:anchorId="31FBAE5D" wp14:editId="76217F65">
            <wp:extent cx="2619241" cy="180702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22890" cy="1809539"/>
                    </a:xfrm>
                    <a:prstGeom prst="rect">
                      <a:avLst/>
                    </a:prstGeom>
                    <a:noFill/>
                    <a:ln>
                      <a:noFill/>
                    </a:ln>
                    <a:extLst/>
                  </pic:spPr>
                </pic:pic>
              </a:graphicData>
            </a:graphic>
          </wp:inline>
        </w:drawing>
      </w:r>
    </w:p>
    <w:p w14:paraId="657A8787" w14:textId="77777777" w:rsidR="00976580" w:rsidRPr="00976580" w:rsidRDefault="005973B9" w:rsidP="00976580">
      <w:pPr>
        <w:spacing w:line="204" w:lineRule="exact"/>
        <w:rPr>
          <w:rFonts w:ascii="Times New Roman" w:hAnsi="Times New Roman" w:cs="Times New Roman"/>
          <w:b/>
          <w:color w:val="000000" w:themeColor="text1"/>
          <w:sz w:val="20"/>
        </w:rPr>
      </w:pPr>
      <w:r w:rsidRPr="000E4945">
        <w:rPr>
          <w:rFonts w:ascii="Times New Roman" w:hAnsi="Times New Roman" w:cs="Times New Roman"/>
          <w:b/>
          <w:color w:val="000000" w:themeColor="text1"/>
          <w:sz w:val="20"/>
        </w:rPr>
        <w:br/>
      </w:r>
      <w:r w:rsidR="00976580" w:rsidRPr="00976580">
        <w:rPr>
          <w:rFonts w:ascii="Times New Roman" w:hAnsi="Times New Roman" w:cs="Times New Roman"/>
          <w:b/>
          <w:color w:val="000000" w:themeColor="text1"/>
          <w:sz w:val="20"/>
        </w:rPr>
        <w:t>REFERENCES</w:t>
      </w:r>
    </w:p>
    <w:p w14:paraId="29CBDF69" w14:textId="3EB29E95" w:rsidR="005973B9" w:rsidRPr="000E4945" w:rsidRDefault="005973B9" w:rsidP="005973B9">
      <w:pPr>
        <w:spacing w:line="204" w:lineRule="exact"/>
        <w:rPr>
          <w:rFonts w:ascii="Times New Roman" w:hAnsi="Times New Roman" w:cs="Times New Roman"/>
          <w:b/>
          <w:color w:val="000000" w:themeColor="text1"/>
          <w:sz w:val="20"/>
        </w:rPr>
      </w:pPr>
    </w:p>
    <w:p w14:paraId="0ACF1025" w14:textId="569F5E77" w:rsidR="00000000" w:rsidRPr="00834A5F" w:rsidRDefault="00830752" w:rsidP="00834A5F">
      <w:pPr>
        <w:pStyle w:val="ListParagraph"/>
        <w:numPr>
          <w:ilvl w:val="0"/>
          <w:numId w:val="3"/>
        </w:numPr>
        <w:tabs>
          <w:tab w:val="left" w:pos="384"/>
        </w:tabs>
        <w:spacing w:before="103" w:line="216" w:lineRule="exact"/>
        <w:ind w:right="138"/>
        <w:rPr>
          <w:rFonts w:ascii="Times New Roman" w:hAnsi="Times New Roman" w:cs="Times New Roman"/>
          <w:color w:val="000000" w:themeColor="text1"/>
          <w:sz w:val="18"/>
        </w:rPr>
      </w:pPr>
      <w:r w:rsidRPr="00834A5F">
        <w:rPr>
          <w:rFonts w:ascii="Times New Roman" w:hAnsi="Times New Roman" w:cs="Times New Roman"/>
          <w:color w:val="000000" w:themeColor="text1"/>
          <w:sz w:val="18"/>
          <w:lang w:val="en-PH"/>
        </w:rPr>
        <w:t xml:space="preserve">S. </w:t>
      </w:r>
      <w:proofErr w:type="spellStart"/>
      <w:r w:rsidRPr="00834A5F">
        <w:rPr>
          <w:rFonts w:ascii="Times New Roman" w:hAnsi="Times New Roman" w:cs="Times New Roman"/>
          <w:color w:val="000000" w:themeColor="text1"/>
          <w:sz w:val="18"/>
          <w:lang w:val="en-PH"/>
        </w:rPr>
        <w:t>Gökhan</w:t>
      </w:r>
      <w:proofErr w:type="spellEnd"/>
      <w:r w:rsidRPr="00834A5F">
        <w:rPr>
          <w:rFonts w:ascii="Times New Roman" w:hAnsi="Times New Roman" w:cs="Times New Roman"/>
          <w:color w:val="000000" w:themeColor="text1"/>
          <w:sz w:val="18"/>
          <w:lang w:val="en-PH"/>
        </w:rPr>
        <w:t xml:space="preserve"> et al; </w:t>
      </w:r>
      <w:r w:rsidRPr="00834A5F">
        <w:rPr>
          <w:rFonts w:ascii="Times New Roman" w:hAnsi="Times New Roman" w:cs="Times New Roman"/>
          <w:i/>
          <w:iCs/>
          <w:color w:val="000000" w:themeColor="text1"/>
          <w:sz w:val="18"/>
          <w:lang w:val="en-PH"/>
        </w:rPr>
        <w:t xml:space="preserve">Neutrophil lymphocyte ratios in stroke subtypes and transient ischemic attack. </w:t>
      </w:r>
      <w:r w:rsidRPr="00834A5F">
        <w:rPr>
          <w:rFonts w:ascii="Times New Roman" w:hAnsi="Times New Roman" w:cs="Times New Roman"/>
          <w:color w:val="000000" w:themeColor="text1"/>
          <w:sz w:val="18"/>
        </w:rPr>
        <w:t>European Review for Medical and Pharmacological Sciences</w:t>
      </w:r>
      <w:r w:rsidR="00834A5F">
        <w:rPr>
          <w:rFonts w:ascii="Times New Roman" w:hAnsi="Times New Roman" w:cs="Times New Roman"/>
          <w:color w:val="000000" w:themeColor="text1"/>
          <w:sz w:val="18"/>
        </w:rPr>
        <w:t xml:space="preserve">, </w:t>
      </w:r>
      <w:r w:rsidR="00834A5F" w:rsidRPr="00834A5F">
        <w:rPr>
          <w:rFonts w:ascii="Times New Roman" w:hAnsi="Times New Roman" w:cs="Times New Roman"/>
          <w:color w:val="000000" w:themeColor="text1"/>
          <w:sz w:val="18"/>
        </w:rPr>
        <w:t>2013; 17: 653-657</w:t>
      </w:r>
    </w:p>
    <w:p w14:paraId="44AAFF68" w14:textId="43EEDBD9" w:rsidR="00000000" w:rsidRPr="00834A5F" w:rsidRDefault="00830752" w:rsidP="00834A5F">
      <w:pPr>
        <w:pStyle w:val="ListParagraph"/>
        <w:numPr>
          <w:ilvl w:val="0"/>
          <w:numId w:val="3"/>
        </w:numPr>
        <w:tabs>
          <w:tab w:val="left" w:pos="384"/>
        </w:tabs>
        <w:spacing w:before="103" w:line="216" w:lineRule="exact"/>
        <w:ind w:right="138"/>
        <w:rPr>
          <w:rFonts w:ascii="Times New Roman" w:hAnsi="Times New Roman" w:cs="Times New Roman"/>
          <w:color w:val="000000" w:themeColor="text1"/>
          <w:sz w:val="18"/>
        </w:rPr>
      </w:pPr>
      <w:r w:rsidRPr="00834A5F">
        <w:rPr>
          <w:rFonts w:ascii="Times New Roman" w:hAnsi="Times New Roman" w:cs="Times New Roman"/>
          <w:color w:val="000000" w:themeColor="text1"/>
          <w:sz w:val="18"/>
        </w:rPr>
        <w:t xml:space="preserve">Chun Li et al; </w:t>
      </w:r>
      <w:r w:rsidRPr="00834A5F">
        <w:rPr>
          <w:rFonts w:ascii="Times New Roman" w:hAnsi="Times New Roman" w:cs="Times New Roman"/>
          <w:i/>
          <w:iCs/>
          <w:color w:val="000000" w:themeColor="text1"/>
          <w:sz w:val="18"/>
        </w:rPr>
        <w:t xml:space="preserve">Predictive value of neutrophil to lymphocyte ratio for mortality in acute cerebral infarction patients </w:t>
      </w:r>
      <w:r w:rsidRPr="00834A5F">
        <w:rPr>
          <w:rFonts w:ascii="Times New Roman" w:hAnsi="Times New Roman" w:cs="Times New Roman"/>
          <w:color w:val="000000" w:themeColor="text1"/>
          <w:sz w:val="18"/>
        </w:rPr>
        <w:t>Pak. J. Pharm. Sci</w:t>
      </w:r>
      <w:r w:rsidR="00834A5F" w:rsidRPr="00834A5F">
        <w:rPr>
          <w:rFonts w:ascii="Times New Roman" w:hAnsi="Times New Roman" w:cs="Times New Roman"/>
          <w:color w:val="000000" w:themeColor="text1"/>
          <w:sz w:val="18"/>
        </w:rPr>
        <w:t>., Vol.29, No.2(</w:t>
      </w:r>
      <w:proofErr w:type="spellStart"/>
      <w:r w:rsidR="00834A5F" w:rsidRPr="00834A5F">
        <w:rPr>
          <w:rFonts w:ascii="Times New Roman" w:hAnsi="Times New Roman" w:cs="Times New Roman"/>
          <w:color w:val="000000" w:themeColor="text1"/>
          <w:sz w:val="18"/>
        </w:rPr>
        <w:t>Suppl</w:t>
      </w:r>
      <w:proofErr w:type="spellEnd"/>
      <w:r w:rsidR="00834A5F" w:rsidRPr="00834A5F">
        <w:rPr>
          <w:rFonts w:ascii="Times New Roman" w:hAnsi="Times New Roman" w:cs="Times New Roman"/>
          <w:color w:val="000000" w:themeColor="text1"/>
          <w:sz w:val="18"/>
        </w:rPr>
        <w:t>), March 2016, pp.737-743</w:t>
      </w:r>
    </w:p>
    <w:p w14:paraId="197C14C9" w14:textId="77777777" w:rsidR="00834A5F" w:rsidRDefault="00830752" w:rsidP="00834A5F">
      <w:pPr>
        <w:ind w:left="360"/>
        <w:jc w:val="both"/>
        <w:rPr>
          <w:rFonts w:ascii="Times New Roman" w:hAnsi="Times New Roman" w:cs="Times New Roman"/>
          <w:sz w:val="18"/>
          <w:szCs w:val="18"/>
        </w:rPr>
      </w:pPr>
      <w:proofErr w:type="spellStart"/>
      <w:r w:rsidRPr="00834A5F">
        <w:rPr>
          <w:rFonts w:ascii="Times New Roman" w:eastAsia="Calibri" w:hAnsi="Times New Roman" w:cs="Times New Roman"/>
          <w:color w:val="000000" w:themeColor="text1"/>
          <w:sz w:val="18"/>
        </w:rPr>
        <w:t>Celikbilek</w:t>
      </w:r>
      <w:proofErr w:type="spellEnd"/>
      <w:r w:rsidRPr="00834A5F">
        <w:rPr>
          <w:rFonts w:ascii="Times New Roman" w:eastAsia="Calibri" w:hAnsi="Times New Roman" w:cs="Times New Roman"/>
          <w:color w:val="000000" w:themeColor="text1"/>
          <w:sz w:val="18"/>
        </w:rPr>
        <w:t xml:space="preserve"> et al; </w:t>
      </w:r>
      <w:r w:rsidRPr="00834A5F">
        <w:rPr>
          <w:rFonts w:ascii="Times New Roman" w:eastAsia="Calibri" w:hAnsi="Times New Roman" w:cs="Times New Roman"/>
          <w:i/>
          <w:iCs/>
          <w:color w:val="000000" w:themeColor="text1"/>
          <w:sz w:val="18"/>
        </w:rPr>
        <w:t>Neutroph</w:t>
      </w:r>
      <w:r w:rsidRPr="00834A5F">
        <w:rPr>
          <w:rFonts w:ascii="Times New Roman" w:eastAsia="Calibri" w:hAnsi="Times New Roman" w:cs="Times New Roman"/>
          <w:i/>
          <w:iCs/>
          <w:color w:val="000000" w:themeColor="text1"/>
          <w:sz w:val="18"/>
        </w:rPr>
        <w:t>il to Lymphocyte Ratio Predicts Poor Prognosis in Ischemic Cerebrovascular Disease</w:t>
      </w:r>
      <w:r w:rsidRPr="00834A5F">
        <w:rPr>
          <w:rFonts w:ascii="Times New Roman" w:eastAsia="Calibri" w:hAnsi="Times New Roman" w:cs="Times New Roman"/>
          <w:color w:val="000000" w:themeColor="text1"/>
          <w:sz w:val="18"/>
        </w:rPr>
        <w:t>. Department of Biostatistics and Medical Informatics</w:t>
      </w:r>
      <w:r w:rsidR="00834A5F">
        <w:rPr>
          <w:rFonts w:ascii="Times New Roman" w:hAnsi="Times New Roman" w:cs="Times New Roman"/>
          <w:color w:val="000000" w:themeColor="text1"/>
          <w:sz w:val="18"/>
        </w:rPr>
        <w:t xml:space="preserve">, </w:t>
      </w:r>
      <w:proofErr w:type="spellStart"/>
      <w:r w:rsidR="00834A5F" w:rsidRPr="00834A5F">
        <w:rPr>
          <w:rFonts w:ascii="Times New Roman" w:hAnsi="Times New Roman" w:cs="Times New Roman"/>
          <w:sz w:val="18"/>
          <w:szCs w:val="18"/>
        </w:rPr>
        <w:t>Erciyes</w:t>
      </w:r>
      <w:proofErr w:type="spellEnd"/>
      <w:r w:rsidR="00834A5F" w:rsidRPr="00834A5F">
        <w:rPr>
          <w:rFonts w:ascii="Times New Roman" w:hAnsi="Times New Roman" w:cs="Times New Roman"/>
          <w:sz w:val="18"/>
          <w:szCs w:val="18"/>
        </w:rPr>
        <w:t xml:space="preserve"> University, Kayseri, Turkey 27 DEC </w:t>
      </w:r>
      <w:proofErr w:type="gramStart"/>
      <w:r w:rsidR="00834A5F" w:rsidRPr="00834A5F">
        <w:rPr>
          <w:rFonts w:ascii="Times New Roman" w:hAnsi="Times New Roman" w:cs="Times New Roman"/>
          <w:sz w:val="18"/>
          <w:szCs w:val="18"/>
        </w:rPr>
        <w:t>2013</w:t>
      </w:r>
      <w:r w:rsidR="00834A5F">
        <w:rPr>
          <w:rFonts w:ascii="Times New Roman" w:hAnsi="Times New Roman" w:cs="Times New Roman"/>
          <w:sz w:val="18"/>
          <w:szCs w:val="18"/>
        </w:rPr>
        <w:t>;</w:t>
      </w:r>
      <w:r w:rsidR="00834A5F" w:rsidRPr="00834A5F">
        <w:rPr>
          <w:rFonts w:ascii="Times New Roman" w:hAnsi="Times New Roman" w:cs="Times New Roman"/>
          <w:sz w:val="18"/>
          <w:szCs w:val="18"/>
        </w:rPr>
        <w:t>DOI</w:t>
      </w:r>
      <w:proofErr w:type="gramEnd"/>
      <w:r w:rsidR="00834A5F" w:rsidRPr="00834A5F">
        <w:rPr>
          <w:rFonts w:ascii="Times New Roman" w:hAnsi="Times New Roman" w:cs="Times New Roman"/>
          <w:sz w:val="18"/>
          <w:szCs w:val="18"/>
        </w:rPr>
        <w:t>: 10.1002/jcla.21639</w:t>
      </w:r>
    </w:p>
    <w:p w14:paraId="6A3ECFBF" w14:textId="76CF4C0B" w:rsidR="00AE3E37" w:rsidRPr="00834A5F" w:rsidRDefault="00830752" w:rsidP="00834A5F">
      <w:pPr>
        <w:pStyle w:val="ListParagraph"/>
        <w:numPr>
          <w:ilvl w:val="0"/>
          <w:numId w:val="3"/>
        </w:numPr>
        <w:rPr>
          <w:rFonts w:ascii="Times New Roman" w:hAnsi="Times New Roman" w:cs="Times New Roman"/>
          <w:sz w:val="18"/>
          <w:szCs w:val="18"/>
        </w:rPr>
      </w:pPr>
      <w:proofErr w:type="spellStart"/>
      <w:r w:rsidRPr="00834A5F">
        <w:rPr>
          <w:rFonts w:ascii="Times New Roman" w:hAnsi="Times New Roman" w:cs="Times New Roman"/>
          <w:color w:val="000000" w:themeColor="text1"/>
          <w:sz w:val="18"/>
          <w:lang w:val="en-PH"/>
        </w:rPr>
        <w:t>Elkind</w:t>
      </w:r>
      <w:proofErr w:type="spellEnd"/>
      <w:r w:rsidRPr="00834A5F">
        <w:rPr>
          <w:rFonts w:ascii="Times New Roman" w:hAnsi="Times New Roman" w:cs="Times New Roman"/>
          <w:color w:val="000000" w:themeColor="text1"/>
          <w:sz w:val="18"/>
          <w:lang w:val="en-PH"/>
        </w:rPr>
        <w:t xml:space="preserve"> et al, </w:t>
      </w:r>
      <w:r w:rsidRPr="00834A5F">
        <w:rPr>
          <w:rFonts w:ascii="Times New Roman" w:hAnsi="Times New Roman" w:cs="Times New Roman"/>
          <w:i/>
          <w:iCs/>
          <w:color w:val="000000" w:themeColor="text1"/>
          <w:sz w:val="18"/>
          <w:lang w:val="en-PH"/>
        </w:rPr>
        <w:t>Relative elevation in baseline leukocyte count predicts first cerebral infarction</w:t>
      </w:r>
      <w:r w:rsidR="00834A5F">
        <w:rPr>
          <w:rFonts w:ascii="Times New Roman" w:hAnsi="Times New Roman" w:cs="Times New Roman"/>
          <w:iCs/>
          <w:color w:val="000000" w:themeColor="text1"/>
          <w:sz w:val="18"/>
          <w:lang w:val="en-PH"/>
        </w:rPr>
        <w:t xml:space="preserve">; </w:t>
      </w:r>
      <w:r w:rsidR="00834A5F" w:rsidRPr="00834A5F">
        <w:rPr>
          <w:rFonts w:ascii="Times New Roman" w:hAnsi="Times New Roman" w:cs="Times New Roman"/>
          <w:iCs/>
          <w:color w:val="000000" w:themeColor="text1"/>
          <w:sz w:val="18"/>
          <w:lang w:val="en-PH"/>
        </w:rPr>
        <w:t>M.S.V. MS DOI: 10.1212/01.WNL.0000165989.12122.49</w:t>
      </w:r>
    </w:p>
    <w:p w14:paraId="3409EC8F" w14:textId="4EA83E88" w:rsidR="00834A5F" w:rsidRDefault="00834A5F" w:rsidP="00834A5F">
      <w:pPr>
        <w:pStyle w:val="ListParagraph"/>
        <w:numPr>
          <w:ilvl w:val="0"/>
          <w:numId w:val="3"/>
        </w:numPr>
        <w:rPr>
          <w:rFonts w:ascii="Times New Roman" w:hAnsi="Times New Roman" w:cs="Times New Roman"/>
          <w:sz w:val="18"/>
          <w:szCs w:val="18"/>
        </w:rPr>
      </w:pPr>
      <w:r w:rsidRPr="00834A5F">
        <w:rPr>
          <w:rFonts w:ascii="Times New Roman" w:hAnsi="Times New Roman" w:cs="Times New Roman"/>
          <w:sz w:val="18"/>
          <w:szCs w:val="18"/>
        </w:rPr>
        <w:t xml:space="preserve">Peng </w:t>
      </w:r>
      <w:r>
        <w:rPr>
          <w:rFonts w:ascii="Times New Roman" w:hAnsi="Times New Roman" w:cs="Times New Roman"/>
          <w:sz w:val="18"/>
          <w:szCs w:val="18"/>
        </w:rPr>
        <w:t xml:space="preserve">et al, </w:t>
      </w:r>
      <w:r w:rsidRPr="00834A5F">
        <w:rPr>
          <w:rFonts w:ascii="Times New Roman" w:hAnsi="Times New Roman" w:cs="Times New Roman"/>
          <w:i/>
          <w:sz w:val="18"/>
          <w:szCs w:val="18"/>
        </w:rPr>
        <w:t>Relationship between white blood cell count at admission and short term outcome in patients with acute cerebral infarction.</w:t>
      </w:r>
      <w:r w:rsidRPr="00834A5F">
        <w:rPr>
          <w:rFonts w:ascii="Times New Roman" w:hAnsi="Times New Roman" w:cs="Times New Roman"/>
          <w:sz w:val="18"/>
          <w:szCs w:val="18"/>
        </w:rPr>
        <w:t xml:space="preserve"> </w:t>
      </w:r>
      <w:proofErr w:type="spellStart"/>
      <w:r w:rsidRPr="00834A5F">
        <w:rPr>
          <w:rFonts w:ascii="Times New Roman" w:hAnsi="Times New Roman" w:cs="Times New Roman"/>
          <w:sz w:val="18"/>
          <w:szCs w:val="18"/>
        </w:rPr>
        <w:t>Clin</w:t>
      </w:r>
      <w:proofErr w:type="spellEnd"/>
      <w:r w:rsidRPr="00834A5F">
        <w:rPr>
          <w:rFonts w:ascii="Times New Roman" w:hAnsi="Times New Roman" w:cs="Times New Roman"/>
          <w:sz w:val="18"/>
          <w:szCs w:val="18"/>
        </w:rPr>
        <w:t xml:space="preserve"> </w:t>
      </w:r>
      <w:proofErr w:type="spellStart"/>
      <w:r w:rsidRPr="00834A5F">
        <w:rPr>
          <w:rFonts w:ascii="Times New Roman" w:hAnsi="Times New Roman" w:cs="Times New Roman"/>
          <w:sz w:val="18"/>
          <w:szCs w:val="18"/>
        </w:rPr>
        <w:t>Inest</w:t>
      </w:r>
      <w:proofErr w:type="spellEnd"/>
      <w:r w:rsidRPr="00834A5F">
        <w:rPr>
          <w:rFonts w:ascii="Times New Roman" w:hAnsi="Times New Roman" w:cs="Times New Roman"/>
          <w:sz w:val="18"/>
          <w:szCs w:val="18"/>
        </w:rPr>
        <w:t xml:space="preserve"> Med • Vol 34, no 4, August 2011 MS DOI: 10.1212/01.WNL.0000165989.12122.49</w:t>
      </w:r>
    </w:p>
    <w:p w14:paraId="31F4961F" w14:textId="0B9D4280" w:rsidR="00834A5F" w:rsidRPr="00834A5F" w:rsidRDefault="00834A5F" w:rsidP="00834A5F">
      <w:pPr>
        <w:pStyle w:val="ListParagraph"/>
        <w:numPr>
          <w:ilvl w:val="0"/>
          <w:numId w:val="3"/>
        </w:numPr>
        <w:rPr>
          <w:rFonts w:ascii="Times New Roman" w:hAnsi="Times New Roman" w:cs="Times New Roman"/>
          <w:sz w:val="18"/>
          <w:szCs w:val="18"/>
        </w:rPr>
      </w:pPr>
      <w:r>
        <w:rPr>
          <w:rFonts w:ascii="Times New Roman" w:hAnsi="Times New Roman" w:cs="Times New Roman"/>
          <w:sz w:val="18"/>
          <w:szCs w:val="18"/>
        </w:rPr>
        <w:t xml:space="preserve">Pearson et al, </w:t>
      </w:r>
      <w:r w:rsidRPr="00834A5F">
        <w:rPr>
          <w:rFonts w:ascii="Times New Roman" w:hAnsi="Times New Roman" w:cs="Times New Roman"/>
          <w:i/>
          <w:sz w:val="18"/>
          <w:szCs w:val="18"/>
        </w:rPr>
        <w:t xml:space="preserve">Markers of Inflammation and Cardiovascular Disease: Application to Clinical and Public Health Practice </w:t>
      </w:r>
      <w:proofErr w:type="gramStart"/>
      <w:r w:rsidRPr="00834A5F">
        <w:rPr>
          <w:rFonts w:ascii="Times New Roman" w:hAnsi="Times New Roman" w:cs="Times New Roman"/>
          <w:i/>
          <w:sz w:val="18"/>
          <w:szCs w:val="18"/>
        </w:rPr>
        <w:t>A</w:t>
      </w:r>
      <w:proofErr w:type="gramEnd"/>
      <w:r w:rsidRPr="00834A5F">
        <w:rPr>
          <w:rFonts w:ascii="Times New Roman" w:hAnsi="Times New Roman" w:cs="Times New Roman"/>
          <w:i/>
          <w:sz w:val="18"/>
          <w:szCs w:val="18"/>
        </w:rPr>
        <w:t xml:space="preserve"> Statement for Healthcare Professionals</w:t>
      </w:r>
      <w:r>
        <w:rPr>
          <w:rFonts w:ascii="Times New Roman" w:hAnsi="Times New Roman" w:cs="Times New Roman"/>
          <w:i/>
          <w:sz w:val="18"/>
          <w:szCs w:val="18"/>
        </w:rPr>
        <w:t xml:space="preserve">; </w:t>
      </w:r>
      <w:r w:rsidRPr="00834A5F">
        <w:rPr>
          <w:rFonts w:ascii="Times New Roman" w:hAnsi="Times New Roman" w:cs="Times New Roman"/>
          <w:sz w:val="18"/>
          <w:szCs w:val="18"/>
        </w:rPr>
        <w:t xml:space="preserve">From the Centers for Disease Control and Prevention and the American Heart Association. Thomas A.  American Heart Association, </w:t>
      </w:r>
      <w:proofErr w:type="spellStart"/>
      <w:r w:rsidRPr="00834A5F">
        <w:rPr>
          <w:rFonts w:ascii="Times New Roman" w:hAnsi="Times New Roman" w:cs="Times New Roman"/>
          <w:sz w:val="18"/>
          <w:szCs w:val="18"/>
        </w:rPr>
        <w:t>Inc</w:t>
      </w:r>
      <w:proofErr w:type="spellEnd"/>
      <w:r w:rsidRPr="00834A5F">
        <w:rPr>
          <w:rFonts w:ascii="Times New Roman" w:hAnsi="Times New Roman" w:cs="Times New Roman"/>
          <w:sz w:val="18"/>
          <w:szCs w:val="18"/>
        </w:rPr>
        <w:t>, and the Centers for Disease Control and Prevention. DOI: 10.1161/01.CIR.0000052939.59093.45</w:t>
      </w:r>
    </w:p>
    <w:p w14:paraId="06B4B8BE" w14:textId="4A9F4CDD" w:rsidR="00AE3E37" w:rsidRDefault="00AE3E37">
      <w:pPr>
        <w:spacing w:line="200" w:lineRule="exact"/>
        <w:jc w:val="both"/>
        <w:rPr>
          <w:rFonts w:ascii="Times New Roman" w:hAnsi="Times New Roman" w:cs="Times New Roman"/>
          <w:color w:val="000000" w:themeColor="text1"/>
        </w:rPr>
      </w:pPr>
    </w:p>
    <w:p w14:paraId="5C54880F" w14:textId="77777777" w:rsidR="00834A5F" w:rsidRPr="000E4945" w:rsidRDefault="00834A5F">
      <w:pPr>
        <w:spacing w:line="200" w:lineRule="exact"/>
        <w:jc w:val="both"/>
        <w:rPr>
          <w:rFonts w:ascii="Times New Roman" w:hAnsi="Times New Roman" w:cs="Times New Roman"/>
          <w:color w:val="000000" w:themeColor="text1"/>
        </w:rPr>
        <w:sectPr w:rsidR="00834A5F" w:rsidRPr="000E4945" w:rsidSect="00F24A77">
          <w:type w:val="continuous"/>
          <w:pgSz w:w="11910" w:h="16840"/>
          <w:pgMar w:top="622" w:right="600" w:bottom="840" w:left="620" w:header="720" w:footer="720" w:gutter="0"/>
          <w:cols w:num="2" w:space="720" w:equalWidth="0">
            <w:col w:w="5214" w:space="138"/>
            <w:col w:w="5338"/>
          </w:cols>
        </w:sectPr>
      </w:pPr>
    </w:p>
    <w:p w14:paraId="5E200925" w14:textId="7FE0C042" w:rsidR="00AE3E37" w:rsidRPr="000E4945" w:rsidRDefault="00AE3E37">
      <w:pPr>
        <w:pStyle w:val="BodyText"/>
        <w:rPr>
          <w:rFonts w:ascii="Times New Roman" w:hAnsi="Times New Roman" w:cs="Times New Roman"/>
          <w:color w:val="000000" w:themeColor="text1"/>
          <w:sz w:val="20"/>
        </w:rPr>
      </w:pPr>
    </w:p>
    <w:p w14:paraId="7E3F3AE7" w14:textId="77777777" w:rsidR="00F131C1" w:rsidRDefault="00F131C1">
      <w:pPr>
        <w:pStyle w:val="BodyText"/>
        <w:spacing w:line="40" w:lineRule="exact"/>
        <w:ind w:left="2202"/>
        <w:rPr>
          <w:rFonts w:ascii="Times New Roman" w:hAnsi="Times New Roman" w:cs="Times New Roman"/>
          <w:color w:val="000000" w:themeColor="text1"/>
          <w:sz w:val="4"/>
        </w:rPr>
      </w:pPr>
    </w:p>
    <w:p w14:paraId="5AC3B178" w14:textId="77777777" w:rsidR="00F131C1" w:rsidRDefault="00F131C1">
      <w:pPr>
        <w:pStyle w:val="BodyText"/>
        <w:spacing w:line="40" w:lineRule="exact"/>
        <w:ind w:left="2202"/>
        <w:rPr>
          <w:rFonts w:ascii="Times New Roman" w:hAnsi="Times New Roman" w:cs="Times New Roman"/>
          <w:color w:val="000000" w:themeColor="text1"/>
          <w:sz w:val="4"/>
        </w:rPr>
      </w:pPr>
    </w:p>
    <w:p w14:paraId="207C24AF" w14:textId="77777777" w:rsidR="00F131C1" w:rsidRDefault="00F131C1">
      <w:pPr>
        <w:pStyle w:val="BodyText"/>
        <w:spacing w:line="40" w:lineRule="exact"/>
        <w:ind w:left="2202"/>
        <w:rPr>
          <w:rFonts w:ascii="Times New Roman" w:hAnsi="Times New Roman" w:cs="Times New Roman"/>
          <w:color w:val="000000" w:themeColor="text1"/>
          <w:sz w:val="4"/>
        </w:rPr>
      </w:pPr>
    </w:p>
    <w:p w14:paraId="55980A1E" w14:textId="77777777" w:rsidR="00F131C1" w:rsidRDefault="00F131C1">
      <w:pPr>
        <w:pStyle w:val="BodyText"/>
        <w:spacing w:line="40" w:lineRule="exact"/>
        <w:ind w:left="2202"/>
        <w:rPr>
          <w:rFonts w:ascii="Times New Roman" w:hAnsi="Times New Roman" w:cs="Times New Roman"/>
          <w:color w:val="000000" w:themeColor="text1"/>
          <w:sz w:val="4"/>
        </w:rPr>
      </w:pPr>
    </w:p>
    <w:p w14:paraId="44C8F1BF" w14:textId="77777777" w:rsidR="00F131C1" w:rsidRDefault="00F131C1">
      <w:pPr>
        <w:pStyle w:val="BodyText"/>
        <w:spacing w:line="40" w:lineRule="exact"/>
        <w:ind w:left="2202"/>
        <w:rPr>
          <w:rFonts w:ascii="Times New Roman" w:hAnsi="Times New Roman" w:cs="Times New Roman"/>
          <w:color w:val="000000" w:themeColor="text1"/>
          <w:sz w:val="4"/>
        </w:rPr>
      </w:pPr>
    </w:p>
    <w:p w14:paraId="6BEF05D9" w14:textId="77777777" w:rsidR="00F131C1" w:rsidRDefault="00F131C1">
      <w:pPr>
        <w:pStyle w:val="BodyText"/>
        <w:spacing w:line="40" w:lineRule="exact"/>
        <w:ind w:left="2202"/>
        <w:rPr>
          <w:rFonts w:ascii="Times New Roman" w:hAnsi="Times New Roman" w:cs="Times New Roman"/>
          <w:color w:val="000000" w:themeColor="text1"/>
          <w:sz w:val="4"/>
        </w:rPr>
      </w:pPr>
    </w:p>
    <w:p w14:paraId="0E0BAC28" w14:textId="397017FB" w:rsidR="00AE3E37" w:rsidRPr="000E4945" w:rsidRDefault="00292ED9">
      <w:pPr>
        <w:pStyle w:val="BodyText"/>
        <w:spacing w:line="40" w:lineRule="exact"/>
        <w:ind w:left="2202"/>
        <w:rPr>
          <w:rFonts w:ascii="Times New Roman" w:hAnsi="Times New Roman" w:cs="Times New Roman"/>
          <w:color w:val="000000" w:themeColor="text1"/>
          <w:sz w:val="4"/>
        </w:rPr>
      </w:pPr>
      <w:r w:rsidRPr="000E4945">
        <w:rPr>
          <w:rFonts w:ascii="Times New Roman" w:hAnsi="Times New Roman" w:cs="Times New Roman"/>
          <w:noProof/>
          <w:color w:val="000000" w:themeColor="text1"/>
          <w:sz w:val="4"/>
        </w:rPr>
        <mc:AlternateContent>
          <mc:Choice Requires="wpg">
            <w:drawing>
              <wp:inline distT="0" distB="0" distL="0" distR="0" wp14:anchorId="06D56749" wp14:editId="43E81DF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0D83A98" w14:textId="40D94D5E" w:rsidR="00AE3E37" w:rsidRDefault="0085532A" w:rsidP="00404E5B">
      <w:pPr>
        <w:spacing w:before="92"/>
        <w:ind w:right="4234"/>
        <w:rPr>
          <w:rFonts w:ascii="Times New Roman" w:hAnsi="Times New Roman" w:cs="Times New Roman"/>
          <w:color w:val="000000" w:themeColor="text1"/>
          <w:sz w:val="20"/>
          <w:szCs w:val="20"/>
        </w:rPr>
      </w:pPr>
      <w:r w:rsidRPr="00601B53">
        <w:rPr>
          <w:rFonts w:ascii="Times New Roman" w:hAnsi="Times New Roman" w:cs="Times New Roman"/>
          <w:noProof/>
          <w:color w:val="000000" w:themeColor="text1"/>
          <w:sz w:val="20"/>
          <w:szCs w:val="20"/>
        </w:rPr>
        <w:drawing>
          <wp:anchor distT="0" distB="0" distL="114300" distR="114300" simplePos="0" relativeHeight="251658240" behindDoc="0" locked="0" layoutInCell="1" allowOverlap="1" wp14:anchorId="537DEB93" wp14:editId="068502DF">
            <wp:simplePos x="0" y="0"/>
            <wp:positionH relativeFrom="column">
              <wp:posOffset>-82550</wp:posOffset>
            </wp:positionH>
            <wp:positionV relativeFrom="paragraph">
              <wp:posOffset>116205</wp:posOffset>
            </wp:positionV>
            <wp:extent cx="872490" cy="872490"/>
            <wp:effectExtent l="0" t="0" r="0" b="0"/>
            <wp:wrapTight wrapText="bothSides">
              <wp:wrapPolygon edited="0">
                <wp:start x="0" y="0"/>
                <wp:lineTo x="0" y="20751"/>
                <wp:lineTo x="20751" y="20751"/>
                <wp:lineTo x="2075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5420893_10157848297180394_1905798099294370247_n.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72490" cy="872490"/>
                    </a:xfrm>
                    <a:prstGeom prst="rect">
                      <a:avLst/>
                    </a:prstGeom>
                  </pic:spPr>
                </pic:pic>
              </a:graphicData>
            </a:graphic>
            <wp14:sizeRelH relativeFrom="page">
              <wp14:pctWidth>0</wp14:pctWidth>
            </wp14:sizeRelH>
            <wp14:sizeRelV relativeFrom="page">
              <wp14:pctHeight>0</wp14:pctHeight>
            </wp14:sizeRelV>
          </wp:anchor>
        </w:drawing>
      </w:r>
      <w:r w:rsidR="00F41627">
        <w:rPr>
          <w:rFonts w:ascii="Times New Roman" w:hAnsi="Times New Roman" w:cs="Times New Roman"/>
          <w:color w:val="000000" w:themeColor="text1"/>
          <w:sz w:val="20"/>
          <w:szCs w:val="20"/>
        </w:rPr>
        <w:t>Main Author:</w:t>
      </w:r>
    </w:p>
    <w:p w14:paraId="6A9FD6FD" w14:textId="7954AFF5" w:rsidR="0085532A" w:rsidRDefault="00F41627" w:rsidP="00CC0F26">
      <w:pPr>
        <w:spacing w:before="92"/>
        <w:ind w:right="520"/>
        <w:jc w:val="both"/>
        <w:rPr>
          <w:rFonts w:ascii="Times New Roman" w:hAnsi="Times New Roman" w:cs="Times New Roman"/>
          <w:color w:val="000000" w:themeColor="text1"/>
          <w:sz w:val="20"/>
          <w:szCs w:val="20"/>
        </w:rPr>
      </w:pPr>
      <w:proofErr w:type="spellStart"/>
      <w:r>
        <w:rPr>
          <w:rFonts w:ascii="Times New Roman" w:hAnsi="Times New Roman" w:cs="Times New Roman"/>
          <w:color w:val="000000" w:themeColor="text1"/>
          <w:sz w:val="20"/>
          <w:szCs w:val="20"/>
        </w:rPr>
        <w:t>Euodia</w:t>
      </w:r>
      <w:proofErr w:type="spellEnd"/>
      <w:r>
        <w:rPr>
          <w:rFonts w:ascii="Times New Roman" w:hAnsi="Times New Roman" w:cs="Times New Roman"/>
          <w:color w:val="000000" w:themeColor="text1"/>
          <w:sz w:val="20"/>
          <w:szCs w:val="20"/>
        </w:rPr>
        <w:t xml:space="preserve"> </w:t>
      </w:r>
      <w:proofErr w:type="spellStart"/>
      <w:r w:rsidR="0085532A">
        <w:rPr>
          <w:rFonts w:ascii="Times New Roman" w:hAnsi="Times New Roman" w:cs="Times New Roman"/>
          <w:color w:val="000000" w:themeColor="text1"/>
          <w:sz w:val="20"/>
          <w:szCs w:val="20"/>
        </w:rPr>
        <w:t>Guinmapang</w:t>
      </w:r>
      <w:proofErr w:type="spellEnd"/>
      <w:r w:rsidR="00F40919">
        <w:rPr>
          <w:rFonts w:ascii="Times New Roman" w:hAnsi="Times New Roman" w:cs="Times New Roman"/>
          <w:color w:val="000000" w:themeColor="text1"/>
          <w:sz w:val="20"/>
          <w:szCs w:val="20"/>
        </w:rPr>
        <w:t xml:space="preserve"> </w:t>
      </w:r>
      <w:r w:rsidR="00CC0F26">
        <w:rPr>
          <w:rFonts w:ascii="Times New Roman" w:hAnsi="Times New Roman" w:cs="Times New Roman"/>
          <w:color w:val="000000" w:themeColor="text1"/>
          <w:sz w:val="20"/>
          <w:szCs w:val="20"/>
        </w:rPr>
        <w:t xml:space="preserve">trained in the field of Internal Medicine at </w:t>
      </w:r>
      <w:proofErr w:type="spellStart"/>
      <w:r w:rsidR="00CC0F26">
        <w:rPr>
          <w:rFonts w:ascii="Times New Roman" w:hAnsi="Times New Roman" w:cs="Times New Roman"/>
          <w:color w:val="000000" w:themeColor="text1"/>
          <w:sz w:val="20"/>
          <w:szCs w:val="20"/>
        </w:rPr>
        <w:t>Ospital</w:t>
      </w:r>
      <w:proofErr w:type="spellEnd"/>
      <w:r w:rsidR="00CC0F26">
        <w:rPr>
          <w:rFonts w:ascii="Times New Roman" w:hAnsi="Times New Roman" w:cs="Times New Roman"/>
          <w:color w:val="000000" w:themeColor="text1"/>
          <w:sz w:val="20"/>
          <w:szCs w:val="20"/>
        </w:rPr>
        <w:t xml:space="preserve"> ng Makati located in the Philippines. Her love for medicine drives her passion to pursue her chosen field in the spirit of serving her fellow countrymen. She has also </w:t>
      </w:r>
      <w:r w:rsidR="00F40919">
        <w:rPr>
          <w:rFonts w:ascii="Times New Roman" w:hAnsi="Times New Roman" w:cs="Times New Roman"/>
          <w:color w:val="000000" w:themeColor="text1"/>
          <w:sz w:val="20"/>
          <w:szCs w:val="20"/>
        </w:rPr>
        <w:t xml:space="preserve">recently passed the </w:t>
      </w:r>
      <w:r w:rsidR="00CC0F26">
        <w:rPr>
          <w:rFonts w:ascii="Times New Roman" w:hAnsi="Times New Roman" w:cs="Times New Roman"/>
          <w:color w:val="000000" w:themeColor="text1"/>
          <w:sz w:val="20"/>
          <w:szCs w:val="20"/>
        </w:rPr>
        <w:t>Philippine Specialty Board of Internal Medicine (PSBIM) E</w:t>
      </w:r>
      <w:r w:rsidR="00CC0F26" w:rsidRPr="00CC0F26">
        <w:rPr>
          <w:rFonts w:ascii="Times New Roman" w:hAnsi="Times New Roman" w:cs="Times New Roman"/>
          <w:color w:val="000000" w:themeColor="text1"/>
          <w:sz w:val="20"/>
          <w:szCs w:val="20"/>
        </w:rPr>
        <w:t>xamination</w:t>
      </w:r>
      <w:r w:rsidR="00CC0F26">
        <w:rPr>
          <w:rFonts w:ascii="Times New Roman" w:hAnsi="Times New Roman" w:cs="Times New Roman"/>
          <w:color w:val="000000" w:themeColor="text1"/>
          <w:sz w:val="20"/>
          <w:szCs w:val="20"/>
        </w:rPr>
        <w:t xml:space="preserve">. </w:t>
      </w:r>
    </w:p>
    <w:p w14:paraId="453BA43A" w14:textId="659FC6FB" w:rsidR="00AE3E37" w:rsidRPr="00601B53" w:rsidRDefault="00A9710C">
      <w:pPr>
        <w:spacing w:before="62"/>
        <w:ind w:left="4217" w:right="4235"/>
        <w:jc w:val="center"/>
        <w:rPr>
          <w:rFonts w:ascii="Times New Roman" w:hAnsi="Times New Roman" w:cs="Times New Roman"/>
          <w:color w:val="000000" w:themeColor="text1"/>
          <w:sz w:val="20"/>
          <w:szCs w:val="20"/>
        </w:rPr>
      </w:pPr>
      <w:r w:rsidRPr="00601B53">
        <w:rPr>
          <w:rFonts w:ascii="Times New Roman" w:hAnsi="Times New Roman" w:cs="Times New Roman"/>
          <w:color w:val="000000" w:themeColor="text1"/>
          <w:sz w:val="20"/>
          <w:szCs w:val="20"/>
        </w:rPr>
        <w:t xml:space="preserve">Email: </w:t>
      </w:r>
      <w:r w:rsidR="00F41627">
        <w:rPr>
          <w:rFonts w:ascii="Times New Roman" w:hAnsi="Times New Roman" w:cs="Times New Roman"/>
          <w:color w:val="000000" w:themeColor="text1"/>
          <w:sz w:val="20"/>
          <w:szCs w:val="20"/>
        </w:rPr>
        <w:t>docdigui@gmail.com</w:t>
      </w:r>
    </w:p>
    <w:p w14:paraId="1C181373" w14:textId="77777777" w:rsidR="00AE3E37" w:rsidRPr="000E4945" w:rsidRDefault="00292ED9">
      <w:pPr>
        <w:pStyle w:val="BodyText"/>
        <w:spacing w:before="2"/>
        <w:rPr>
          <w:rFonts w:ascii="Times New Roman" w:hAnsi="Times New Roman" w:cs="Times New Roman"/>
          <w:color w:val="000000" w:themeColor="text1"/>
          <w:sz w:val="19"/>
        </w:rPr>
      </w:pPr>
      <w:r w:rsidRPr="000E4945">
        <w:rPr>
          <w:rFonts w:ascii="Times New Roman" w:hAnsi="Times New Roman" w:cs="Times New Roman"/>
          <w:noProof/>
          <w:color w:val="000000" w:themeColor="text1"/>
        </w:rPr>
        <mc:AlternateContent>
          <mc:Choice Requires="wps">
            <w:drawing>
              <wp:anchor distT="0" distB="0" distL="0" distR="0" simplePos="0" relativeHeight="1072" behindDoc="0" locked="0" layoutInCell="1" allowOverlap="1" wp14:anchorId="59386722" wp14:editId="63D967A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CA3B206" w14:textId="765047CE" w:rsidR="00601B53" w:rsidRPr="00601B53" w:rsidRDefault="00601B53" w:rsidP="00601B53">
      <w:pPr>
        <w:spacing w:before="39"/>
        <w:rPr>
          <w:rFonts w:ascii="Times New Roman" w:hAnsi="Times New Roman" w:cs="Times New Roman"/>
          <w:b/>
          <w:color w:val="000000" w:themeColor="text1"/>
          <w:sz w:val="20"/>
        </w:rPr>
      </w:pPr>
      <w:r>
        <w:rPr>
          <w:rFonts w:ascii="Times New Roman" w:hAnsi="Times New Roman" w:cs="Times New Roman"/>
          <w:color w:val="000000" w:themeColor="text1"/>
          <w:sz w:val="24"/>
        </w:rPr>
        <w:lastRenderedPageBreak/>
        <w:tab/>
      </w:r>
    </w:p>
    <w:p w14:paraId="63270CEF" w14:textId="48F754FF" w:rsidR="00AE3E37" w:rsidRPr="00601B53" w:rsidRDefault="00601B53" w:rsidP="00601B53">
      <w:pPr>
        <w:tabs>
          <w:tab w:val="left" w:pos="1409"/>
        </w:tabs>
        <w:rPr>
          <w:rFonts w:ascii="Times New Roman" w:hAnsi="Times New Roman" w:cs="Times New Roman"/>
          <w:sz w:val="24"/>
        </w:rPr>
        <w:sectPr w:rsidR="00AE3E37" w:rsidRPr="00601B53" w:rsidSect="00F24A77">
          <w:type w:val="continuous"/>
          <w:pgSz w:w="11910" w:h="16840"/>
          <w:pgMar w:top="622" w:right="600" w:bottom="840" w:left="620" w:header="720" w:footer="720" w:gutter="0"/>
          <w:cols w:space="720"/>
        </w:sectPr>
      </w:pPr>
      <w:r>
        <w:rPr>
          <w:rFonts w:ascii="Times New Roman" w:hAnsi="Times New Roman" w:cs="Times New Roman"/>
          <w:sz w:val="24"/>
        </w:rPr>
        <w:tab/>
      </w:r>
    </w:p>
    <w:p w14:paraId="36EBFAD3" w14:textId="77B626FF" w:rsidR="00AE3E37" w:rsidRPr="000E4945" w:rsidRDefault="00AE3E37">
      <w:pPr>
        <w:pStyle w:val="BodyText"/>
        <w:spacing w:before="3"/>
        <w:rPr>
          <w:rFonts w:ascii="Times New Roman" w:hAnsi="Times New Roman" w:cs="Times New Roman"/>
          <w:color w:val="000000" w:themeColor="text1"/>
          <w:sz w:val="26"/>
        </w:rPr>
      </w:pPr>
    </w:p>
    <w:sectPr w:rsidR="00AE3E37" w:rsidRPr="000E4945" w:rsidSect="00F24A77">
      <w:type w:val="continuous"/>
      <w:pgSz w:w="11910" w:h="16840"/>
      <w:pgMar w:top="622"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52BD82" w14:textId="77777777" w:rsidR="00830752" w:rsidRDefault="00830752">
      <w:r>
        <w:separator/>
      </w:r>
    </w:p>
  </w:endnote>
  <w:endnote w:type="continuationSeparator" w:id="0">
    <w:p w14:paraId="0F39C2E4" w14:textId="77777777" w:rsidR="00830752" w:rsidRDefault="00830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auto"/>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9A7E72" w14:textId="367709B4" w:rsidR="00AE3E37" w:rsidRDefault="00AE3E37">
    <w:pPr>
      <w:pStyle w:val="BodyText"/>
      <w:spacing w:line="14" w:lineRule="auto"/>
      <w:rPr>
        <w:sz w:val="2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93D967" w14:textId="77777777" w:rsidR="00830752" w:rsidRDefault="00830752">
      <w:r>
        <w:separator/>
      </w:r>
    </w:p>
  </w:footnote>
  <w:footnote w:type="continuationSeparator" w:id="0">
    <w:p w14:paraId="45E05C50" w14:textId="77777777" w:rsidR="00830752" w:rsidRDefault="0083075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6C7E51" w14:textId="063B85CD" w:rsidR="00AE3E37" w:rsidRDefault="00AE3E37">
    <w:pPr>
      <w:pStyle w:val="BodyText"/>
      <w:spacing w:line="14" w:lineRule="auto"/>
      <w:rPr>
        <w:sz w:val="2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E0D3950"/>
    <w:multiLevelType w:val="hybridMultilevel"/>
    <w:tmpl w:val="F8B86ECA"/>
    <w:lvl w:ilvl="0" w:tplc="A216D6BE">
      <w:start w:val="1"/>
      <w:numFmt w:val="bullet"/>
      <w:lvlText w:val="•"/>
      <w:lvlJc w:val="left"/>
      <w:pPr>
        <w:tabs>
          <w:tab w:val="num" w:pos="720"/>
        </w:tabs>
        <w:ind w:left="720" w:hanging="360"/>
      </w:pPr>
      <w:rPr>
        <w:rFonts w:ascii="Arial" w:hAnsi="Arial" w:hint="default"/>
      </w:rPr>
    </w:lvl>
    <w:lvl w:ilvl="1" w:tplc="C82CEC28" w:tentative="1">
      <w:start w:val="1"/>
      <w:numFmt w:val="bullet"/>
      <w:lvlText w:val="•"/>
      <w:lvlJc w:val="left"/>
      <w:pPr>
        <w:tabs>
          <w:tab w:val="num" w:pos="1440"/>
        </w:tabs>
        <w:ind w:left="1440" w:hanging="360"/>
      </w:pPr>
      <w:rPr>
        <w:rFonts w:ascii="Arial" w:hAnsi="Arial" w:hint="default"/>
      </w:rPr>
    </w:lvl>
    <w:lvl w:ilvl="2" w:tplc="73A2798E" w:tentative="1">
      <w:start w:val="1"/>
      <w:numFmt w:val="bullet"/>
      <w:lvlText w:val="•"/>
      <w:lvlJc w:val="left"/>
      <w:pPr>
        <w:tabs>
          <w:tab w:val="num" w:pos="2160"/>
        </w:tabs>
        <w:ind w:left="2160" w:hanging="360"/>
      </w:pPr>
      <w:rPr>
        <w:rFonts w:ascii="Arial" w:hAnsi="Arial" w:hint="default"/>
      </w:rPr>
    </w:lvl>
    <w:lvl w:ilvl="3" w:tplc="9C5AB4D8" w:tentative="1">
      <w:start w:val="1"/>
      <w:numFmt w:val="bullet"/>
      <w:lvlText w:val="•"/>
      <w:lvlJc w:val="left"/>
      <w:pPr>
        <w:tabs>
          <w:tab w:val="num" w:pos="2880"/>
        </w:tabs>
        <w:ind w:left="2880" w:hanging="360"/>
      </w:pPr>
      <w:rPr>
        <w:rFonts w:ascii="Arial" w:hAnsi="Arial" w:hint="default"/>
      </w:rPr>
    </w:lvl>
    <w:lvl w:ilvl="4" w:tplc="4A96D80C" w:tentative="1">
      <w:start w:val="1"/>
      <w:numFmt w:val="bullet"/>
      <w:lvlText w:val="•"/>
      <w:lvlJc w:val="left"/>
      <w:pPr>
        <w:tabs>
          <w:tab w:val="num" w:pos="3600"/>
        </w:tabs>
        <w:ind w:left="3600" w:hanging="360"/>
      </w:pPr>
      <w:rPr>
        <w:rFonts w:ascii="Arial" w:hAnsi="Arial" w:hint="default"/>
      </w:rPr>
    </w:lvl>
    <w:lvl w:ilvl="5" w:tplc="E7E6E966" w:tentative="1">
      <w:start w:val="1"/>
      <w:numFmt w:val="bullet"/>
      <w:lvlText w:val="•"/>
      <w:lvlJc w:val="left"/>
      <w:pPr>
        <w:tabs>
          <w:tab w:val="num" w:pos="4320"/>
        </w:tabs>
        <w:ind w:left="4320" w:hanging="360"/>
      </w:pPr>
      <w:rPr>
        <w:rFonts w:ascii="Arial" w:hAnsi="Arial" w:hint="default"/>
      </w:rPr>
    </w:lvl>
    <w:lvl w:ilvl="6" w:tplc="A502C49A" w:tentative="1">
      <w:start w:val="1"/>
      <w:numFmt w:val="bullet"/>
      <w:lvlText w:val="•"/>
      <w:lvlJc w:val="left"/>
      <w:pPr>
        <w:tabs>
          <w:tab w:val="num" w:pos="5040"/>
        </w:tabs>
        <w:ind w:left="5040" w:hanging="360"/>
      </w:pPr>
      <w:rPr>
        <w:rFonts w:ascii="Arial" w:hAnsi="Arial" w:hint="default"/>
      </w:rPr>
    </w:lvl>
    <w:lvl w:ilvl="7" w:tplc="C75482EA" w:tentative="1">
      <w:start w:val="1"/>
      <w:numFmt w:val="bullet"/>
      <w:lvlText w:val="•"/>
      <w:lvlJc w:val="left"/>
      <w:pPr>
        <w:tabs>
          <w:tab w:val="num" w:pos="5760"/>
        </w:tabs>
        <w:ind w:left="5760" w:hanging="360"/>
      </w:pPr>
      <w:rPr>
        <w:rFonts w:ascii="Arial" w:hAnsi="Arial" w:hint="default"/>
      </w:rPr>
    </w:lvl>
    <w:lvl w:ilvl="8" w:tplc="F342D240" w:tentative="1">
      <w:start w:val="1"/>
      <w:numFmt w:val="bullet"/>
      <w:lvlText w:val="•"/>
      <w:lvlJc w:val="left"/>
      <w:pPr>
        <w:tabs>
          <w:tab w:val="num" w:pos="6480"/>
        </w:tabs>
        <w:ind w:left="6480" w:hanging="360"/>
      </w:pPr>
      <w:rPr>
        <w:rFonts w:ascii="Arial" w:hAnsi="Arial"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67921CC7"/>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4945"/>
    <w:rsid w:val="001263DF"/>
    <w:rsid w:val="002321D1"/>
    <w:rsid w:val="002455EC"/>
    <w:rsid w:val="00292ED9"/>
    <w:rsid w:val="00404E5B"/>
    <w:rsid w:val="00414F7B"/>
    <w:rsid w:val="004355DC"/>
    <w:rsid w:val="004749B4"/>
    <w:rsid w:val="00494130"/>
    <w:rsid w:val="004F3523"/>
    <w:rsid w:val="005973B9"/>
    <w:rsid w:val="005B3A56"/>
    <w:rsid w:val="00601B53"/>
    <w:rsid w:val="006060CE"/>
    <w:rsid w:val="0063497F"/>
    <w:rsid w:val="00830752"/>
    <w:rsid w:val="00834A5F"/>
    <w:rsid w:val="0085532A"/>
    <w:rsid w:val="00873DF0"/>
    <w:rsid w:val="008756E6"/>
    <w:rsid w:val="008A08B6"/>
    <w:rsid w:val="00920301"/>
    <w:rsid w:val="00976580"/>
    <w:rsid w:val="009B2D44"/>
    <w:rsid w:val="009F64F8"/>
    <w:rsid w:val="00A07E82"/>
    <w:rsid w:val="00A648C9"/>
    <w:rsid w:val="00A9710C"/>
    <w:rsid w:val="00AE3E37"/>
    <w:rsid w:val="00B21A57"/>
    <w:rsid w:val="00C33602"/>
    <w:rsid w:val="00CC0F26"/>
    <w:rsid w:val="00CD6F55"/>
    <w:rsid w:val="00D33A9A"/>
    <w:rsid w:val="00D67667"/>
    <w:rsid w:val="00DE3104"/>
    <w:rsid w:val="00E26B10"/>
    <w:rsid w:val="00F131C1"/>
    <w:rsid w:val="00F24A77"/>
    <w:rsid w:val="00F40919"/>
    <w:rsid w:val="00F41627"/>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06B4F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0E4945"/>
    <w:pPr>
      <w:widowControl/>
      <w:spacing w:before="100" w:beforeAutospacing="1" w:after="100" w:afterAutospacing="1"/>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62289">
      <w:bodyDiv w:val="1"/>
      <w:marLeft w:val="0"/>
      <w:marRight w:val="0"/>
      <w:marTop w:val="0"/>
      <w:marBottom w:val="0"/>
      <w:divBdr>
        <w:top w:val="none" w:sz="0" w:space="0" w:color="auto"/>
        <w:left w:val="none" w:sz="0" w:space="0" w:color="auto"/>
        <w:bottom w:val="none" w:sz="0" w:space="0" w:color="auto"/>
        <w:right w:val="none" w:sz="0" w:space="0" w:color="auto"/>
      </w:divBdr>
    </w:div>
    <w:div w:id="233126995">
      <w:bodyDiv w:val="1"/>
      <w:marLeft w:val="0"/>
      <w:marRight w:val="0"/>
      <w:marTop w:val="0"/>
      <w:marBottom w:val="0"/>
      <w:divBdr>
        <w:top w:val="none" w:sz="0" w:space="0" w:color="auto"/>
        <w:left w:val="none" w:sz="0" w:space="0" w:color="auto"/>
        <w:bottom w:val="none" w:sz="0" w:space="0" w:color="auto"/>
        <w:right w:val="none" w:sz="0" w:space="0" w:color="auto"/>
      </w:divBdr>
    </w:div>
    <w:div w:id="47352458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57012206">
      <w:bodyDiv w:val="1"/>
      <w:marLeft w:val="0"/>
      <w:marRight w:val="0"/>
      <w:marTop w:val="0"/>
      <w:marBottom w:val="0"/>
      <w:divBdr>
        <w:top w:val="none" w:sz="0" w:space="0" w:color="auto"/>
        <w:left w:val="none" w:sz="0" w:space="0" w:color="auto"/>
        <w:bottom w:val="none" w:sz="0" w:space="0" w:color="auto"/>
        <w:right w:val="none" w:sz="0" w:space="0" w:color="auto"/>
      </w:divBdr>
    </w:div>
    <w:div w:id="143871289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86630877">
      <w:bodyDiv w:val="1"/>
      <w:marLeft w:val="0"/>
      <w:marRight w:val="0"/>
      <w:marTop w:val="0"/>
      <w:marBottom w:val="0"/>
      <w:divBdr>
        <w:top w:val="none" w:sz="0" w:space="0" w:color="auto"/>
        <w:left w:val="none" w:sz="0" w:space="0" w:color="auto"/>
        <w:bottom w:val="none" w:sz="0" w:space="0" w:color="auto"/>
        <w:right w:val="none" w:sz="0" w:space="0" w:color="auto"/>
      </w:divBdr>
    </w:div>
    <w:div w:id="1581716958">
      <w:bodyDiv w:val="1"/>
      <w:marLeft w:val="0"/>
      <w:marRight w:val="0"/>
      <w:marTop w:val="0"/>
      <w:marBottom w:val="0"/>
      <w:divBdr>
        <w:top w:val="none" w:sz="0" w:space="0" w:color="auto"/>
        <w:left w:val="none" w:sz="0" w:space="0" w:color="auto"/>
        <w:bottom w:val="none" w:sz="0" w:space="0" w:color="auto"/>
        <w:right w:val="none" w:sz="0" w:space="0" w:color="auto"/>
      </w:divBdr>
      <w:divsChild>
        <w:div w:id="1993097785">
          <w:marLeft w:val="274"/>
          <w:marRight w:val="0"/>
          <w:marTop w:val="0"/>
          <w:marBottom w:val="0"/>
          <w:divBdr>
            <w:top w:val="none" w:sz="0" w:space="0" w:color="auto"/>
            <w:left w:val="none" w:sz="0" w:space="0" w:color="auto"/>
            <w:bottom w:val="none" w:sz="0" w:space="0" w:color="auto"/>
            <w:right w:val="none" w:sz="0" w:space="0" w:color="auto"/>
          </w:divBdr>
        </w:div>
        <w:div w:id="1545672207">
          <w:marLeft w:val="274"/>
          <w:marRight w:val="0"/>
          <w:marTop w:val="0"/>
          <w:marBottom w:val="0"/>
          <w:divBdr>
            <w:top w:val="none" w:sz="0" w:space="0" w:color="auto"/>
            <w:left w:val="none" w:sz="0" w:space="0" w:color="auto"/>
            <w:bottom w:val="none" w:sz="0" w:space="0" w:color="auto"/>
            <w:right w:val="none" w:sz="0" w:space="0" w:color="auto"/>
          </w:divBdr>
        </w:div>
        <w:div w:id="1397895809">
          <w:marLeft w:val="274"/>
          <w:marRight w:val="0"/>
          <w:marTop w:val="0"/>
          <w:marBottom w:val="0"/>
          <w:divBdr>
            <w:top w:val="none" w:sz="0" w:space="0" w:color="auto"/>
            <w:left w:val="none" w:sz="0" w:space="0" w:color="auto"/>
            <w:bottom w:val="none" w:sz="0" w:space="0" w:color="auto"/>
            <w:right w:val="none" w:sz="0" w:space="0" w:color="auto"/>
          </w:divBdr>
        </w:div>
        <w:div w:id="897515796">
          <w:marLeft w:val="274"/>
          <w:marRight w:val="0"/>
          <w:marTop w:val="0"/>
          <w:marBottom w:val="0"/>
          <w:divBdr>
            <w:top w:val="none" w:sz="0" w:space="0" w:color="auto"/>
            <w:left w:val="none" w:sz="0" w:space="0" w:color="auto"/>
            <w:bottom w:val="none" w:sz="0" w:space="0" w:color="auto"/>
            <w:right w:val="none" w:sz="0" w:space="0" w:color="auto"/>
          </w:divBdr>
        </w:div>
      </w:divsChild>
    </w:div>
    <w:div w:id="1659842116">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669</Words>
  <Characters>3818</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Martin Ogbac</cp:lastModifiedBy>
  <cp:revision>2</cp:revision>
  <dcterms:created xsi:type="dcterms:W3CDTF">2017-03-29T18:10:00Z</dcterms:created>
  <dcterms:modified xsi:type="dcterms:W3CDTF">2017-03-29T18:10:00Z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