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57B891" w14:textId="77777777" w:rsidR="00A10A22" w:rsidRPr="00A10A22" w:rsidRDefault="00A10A22" w:rsidP="00A10A22">
      <w:pPr>
        <w:snapToGrid w:val="0"/>
        <w:rPr>
          <w:rFonts w:ascii="Minion Pro" w:eastAsia="Minion Pro" w:hAnsi="Minion Pro" w:cs="Minion Pro"/>
          <w:b/>
          <w:bCs/>
          <w:color w:val="337AB7"/>
          <w:sz w:val="36"/>
          <w:szCs w:val="36"/>
        </w:rPr>
      </w:pPr>
      <w:r w:rsidRPr="00A10A22">
        <w:rPr>
          <w:rFonts w:ascii="Minion Pro" w:eastAsia="Minion Pro" w:hAnsi="Minion Pro" w:cs="Minion Pro"/>
          <w:b/>
          <w:bCs/>
          <w:color w:val="337AB7"/>
          <w:sz w:val="36"/>
          <w:szCs w:val="36"/>
        </w:rPr>
        <w:t>Preventive effects of resveratrol against chemotherapy induced cognitive impairment are associated with the modulation of neuro-inflammation and synaptic plasticity in mice</w:t>
      </w:r>
    </w:p>
    <w:p w14:paraId="68A04242"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DD Shi, PhD, School of Chinese Medicine, the University of Hong Kong, Hong Kong, China</w:t>
      </w:r>
    </w:p>
    <w:p w14:paraId="671ADD5A"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CM Dong, Department of Electrical and Electronic Engineering, the University of Hong Kong, Hong Kong, China </w:t>
      </w:r>
    </w:p>
    <w:p w14:paraId="0CAABDCF"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LC Ho, Department of Electrical and Electronic Engineering, the University of Hong Kong, Hong Kong, China </w:t>
      </w:r>
    </w:p>
    <w:p w14:paraId="0D406832"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EX Wu, Department of Electrical and Electronic Engineering, the University of Hong Kong, Hong Kong, China </w:t>
      </w:r>
    </w:p>
    <w:p w14:paraId="7AEA1044"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Q Li, Department of Psychiatry, the University of Hong Kong, Hong Kong, China </w:t>
      </w:r>
    </w:p>
    <w:p w14:paraId="007EF333"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XM Wang, Department of Anesthesiology, the University of Hong Kong, Hong Kong, China </w:t>
      </w:r>
    </w:p>
    <w:p w14:paraId="21448D9F" w14:textId="77777777" w:rsidR="00A10A22" w:rsidRPr="00A10A22" w:rsidRDefault="00A10A22" w:rsidP="00A10A22">
      <w:pPr>
        <w:snapToGrid w:val="0"/>
        <w:rPr>
          <w:rFonts w:ascii="Arial" w:eastAsia="PMingLiU" w:hAnsi="Arial" w:cs="Arial"/>
          <w:bCs/>
          <w:sz w:val="18"/>
          <w:szCs w:val="18"/>
          <w:lang w:eastAsia="zh-TW"/>
        </w:rPr>
      </w:pPr>
      <w:r w:rsidRPr="00A10A22">
        <w:rPr>
          <w:rFonts w:ascii="Arial" w:eastAsia="PMingLiU" w:hAnsi="Arial" w:cs="Arial"/>
          <w:bCs/>
          <w:sz w:val="18"/>
          <w:szCs w:val="18"/>
          <w:lang w:eastAsia="zh-TW"/>
        </w:rPr>
        <w:t xml:space="preserve">ZJ Zhang, School of Chinese Medicine, the University of Hong Kong, Hong Kong, China </w:t>
      </w:r>
    </w:p>
    <w:p w14:paraId="6BBCCC2B" w14:textId="73D2E17A" w:rsidR="008E5EAE" w:rsidRPr="00A10A22" w:rsidRDefault="008E5EAE" w:rsidP="008E5EAE">
      <w:pPr>
        <w:snapToGrid w:val="0"/>
        <w:rPr>
          <w:rFonts w:ascii="Times New Roman" w:eastAsia="PMingLiU" w:hAnsi="Times New Roman" w:cs="Times New Roman"/>
          <w:bCs/>
          <w:sz w:val="24"/>
          <w:szCs w:val="20"/>
          <w:lang w:eastAsia="zh-TW"/>
        </w:rPr>
      </w:pPr>
    </w:p>
    <w:p w14:paraId="091560CC" w14:textId="77777777" w:rsidR="00AE3E37" w:rsidRPr="008E5EAE" w:rsidRDefault="00AE3E37">
      <w:pPr>
        <w:rPr>
          <w:rFonts w:ascii="Arial"/>
          <w:sz w:val="21"/>
          <w:lang w:val="en-GB"/>
        </w:rPr>
        <w:sectPr w:rsidR="00AE3E37" w:rsidRPr="008E5EAE">
          <w:headerReference w:type="default" r:id="rId7"/>
          <w:footerReference w:type="default" r:id="rId8"/>
          <w:type w:val="continuous"/>
          <w:pgSz w:w="11910" w:h="16840"/>
          <w:pgMar w:top="1740" w:right="600" w:bottom="840" w:left="620" w:header="541" w:footer="642" w:gutter="0"/>
          <w:cols w:space="720"/>
        </w:sectPr>
      </w:pPr>
    </w:p>
    <w:p w14:paraId="34A6522B" w14:textId="2241AFC6" w:rsidR="009F4D88" w:rsidRDefault="00A9710C" w:rsidP="009F4D88">
      <w:pPr>
        <w:pStyle w:val="3"/>
        <w:spacing w:before="147"/>
        <w:jc w:val="both"/>
      </w:pPr>
      <w:r>
        <w:rPr>
          <w:color w:val="BF5A14"/>
        </w:rPr>
        <w:t>Abstract</w:t>
      </w:r>
      <w:r w:rsidR="00604E84">
        <w:rPr>
          <w:color w:val="BF5A14"/>
        </w:rPr>
        <w:t xml:space="preserve"> </w:t>
      </w:r>
    </w:p>
    <w:p w14:paraId="0FDF8034" w14:textId="77777777" w:rsidR="00A10A22" w:rsidRPr="00A10A22" w:rsidRDefault="00A10A22" w:rsidP="00A10A22">
      <w:pPr>
        <w:pStyle w:val="a3"/>
        <w:spacing w:before="90" w:line="280" w:lineRule="auto"/>
        <w:ind w:left="100"/>
      </w:pPr>
      <w:r w:rsidRPr="00A10A22">
        <w:t>Chemotherapy-induced cognitive impairment, often referred to as “chemobrain”, is a potential long-term side effect, clinically manifesting as difficulty in learning and memory, problems with processing speeds and executive function, resulting in reduced quality of life in cancer survivors. Resveratrol is a novel natural agent that may have the potential to improve cognitive performance. In the present study, we first showed that resveratrol has no proliferation effects in the two breast cancer cell lines, MCF-7 and MAD-231 cells. In a separate experiment, female C57 mice were treated with 100 mg/kg resveratrol for 3 weeks. Three injections of chemotherapeutic agents of docetaxel (10 mg/kg), adriamycin (10 mg/kg), and cyclophosphamide (40 mg/kg) (DAC) in combination were given in the middle week at every three days. Following the completion of resveratrol treatment, animals were tested in water maze at Day 1 and with manganese-enhanced magnetic resonance imaging (MEMRI) at Day 8. Resveratrol treatment resulted in significantly longer duration and more number of entry into the target quadrant than DAC-treated animals. Resveratrol also markedly lowered the level of TNF-</w:t>
      </w:r>
      <w:r w:rsidRPr="00A10A22">
        <w:rPr>
          <w:rFonts w:ascii="Calibri" w:hAnsi="Calibri" w:cs="Calibri"/>
        </w:rPr>
        <w:t>α</w:t>
      </w:r>
      <w:r w:rsidRPr="00A10A22">
        <w:t xml:space="preserve"> and IL-6 in the blood, the whole brain, the prefrontal cortex, and the hippocampus. Resveratrol treatment further increased the intensity of MEMRI in the dentate gyrus, CA1, and CA3 subregions of the hippocampus. The duration and number of entry in water maze were negatively correlated with TNF-</w:t>
      </w:r>
      <w:r w:rsidRPr="00A10A22">
        <w:rPr>
          <w:rFonts w:ascii="Calibri" w:hAnsi="Calibri" w:cs="Calibri"/>
        </w:rPr>
        <w:t>α</w:t>
      </w:r>
      <w:r w:rsidRPr="00A10A22">
        <w:t xml:space="preserve"> and IL-6 concentration, but positively correlated with MEMRI intensity in several tissues examined. Resveratrol also reversed DAC-induced suppression of the expression of brain derived neurotrophic factor (BDNF), the related receptor tropomyosin receptor kinase B (TrkB) and the N-methyl-D-aspartate receptor (NMDR1) in the prefrontal cortex and the hippocampus. These results indicate that resveratrol can prevent cognitive impairment from chemotherapy probably via regulating neuroinflammation and synaptic plasticity in related brain regions.</w:t>
      </w:r>
    </w:p>
    <w:p w14:paraId="790E0552" w14:textId="5BD4DAEC" w:rsidR="009F4D88" w:rsidRDefault="009F4D88" w:rsidP="00F66302">
      <w:pPr>
        <w:pStyle w:val="a3"/>
        <w:spacing w:before="90" w:line="280" w:lineRule="auto"/>
        <w:ind w:left="100"/>
        <w:jc w:val="both"/>
      </w:pPr>
    </w:p>
    <w:p w14:paraId="40C0482D" w14:textId="77777777" w:rsidR="009F4D88" w:rsidRDefault="009F4D88">
      <w:pPr>
        <w:pStyle w:val="a3"/>
        <w:spacing w:before="90" w:line="280" w:lineRule="auto"/>
        <w:ind w:left="100"/>
        <w:jc w:val="both"/>
      </w:pPr>
    </w:p>
    <w:p w14:paraId="091560CF" w14:textId="77777777" w:rsidR="00AE3E37" w:rsidRDefault="00A9710C">
      <w:pPr>
        <w:pStyle w:val="3"/>
        <w:spacing w:before="74"/>
      </w:pPr>
      <w:r>
        <w:rPr>
          <w:b w:val="0"/>
        </w:rPr>
        <w:br w:type="column"/>
      </w:r>
      <w:r>
        <w:rPr>
          <w:color w:val="BF5A14"/>
        </w:rPr>
        <w:t>Image</w:t>
      </w:r>
    </w:p>
    <w:p w14:paraId="091560D0" w14:textId="48AAA6FE" w:rsidR="00AE3E37" w:rsidRDefault="00331AB3">
      <w:pPr>
        <w:pStyle w:val="a3"/>
        <w:spacing w:before="2"/>
        <w:rPr>
          <w:rFonts w:ascii="Arial"/>
          <w:b/>
          <w:sz w:val="16"/>
        </w:rPr>
      </w:pPr>
      <w:r>
        <w:rPr>
          <w:noProof/>
          <w:lang w:eastAsia="zh-CN"/>
        </w:rPr>
        <w:drawing>
          <wp:inline distT="0" distB="0" distL="0" distR="0" wp14:anchorId="63E4A58A" wp14:editId="50618132">
            <wp:extent cx="3165475" cy="1862884"/>
            <wp:effectExtent l="0" t="0" r="0" b="4445"/>
            <wp:docPr id="3" name="图片 3" descr="C:\Users\z\AppData\Local\Microsoft\Windows\INetCacheContent.Word\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z\AppData\Local\Microsoft\Windows\INetCacheContent.Word\图片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5475" cy="1862884"/>
                    </a:xfrm>
                    <a:prstGeom prst="rect">
                      <a:avLst/>
                    </a:prstGeom>
                    <a:noFill/>
                    <a:ln>
                      <a:noFill/>
                    </a:ln>
                  </pic:spPr>
                </pic:pic>
              </a:graphicData>
            </a:graphic>
          </wp:inline>
        </w:drawing>
      </w:r>
    </w:p>
    <w:p w14:paraId="091560D1" w14:textId="6114D66C" w:rsidR="005973B9" w:rsidRDefault="00604E84" w:rsidP="005973B9">
      <w:pPr>
        <w:spacing w:line="204" w:lineRule="exact"/>
        <w:rPr>
          <w:rFonts w:ascii="Arial"/>
          <w:b/>
          <w:sz w:val="20"/>
        </w:rPr>
      </w:pPr>
      <w:r>
        <w:rPr>
          <w:rFonts w:ascii="Arial"/>
          <w:b/>
          <w:color w:val="BF5A14"/>
          <w:sz w:val="20"/>
        </w:rPr>
        <w:br/>
        <w:t>Recent Publications</w:t>
      </w:r>
    </w:p>
    <w:p w14:paraId="091560D2" w14:textId="431F711D" w:rsidR="005973B9" w:rsidRDefault="00823E7D" w:rsidP="00823E7D">
      <w:pPr>
        <w:pStyle w:val="a5"/>
        <w:numPr>
          <w:ilvl w:val="0"/>
          <w:numId w:val="3"/>
        </w:numPr>
        <w:tabs>
          <w:tab w:val="left" w:pos="384"/>
        </w:tabs>
        <w:spacing w:before="103" w:line="216" w:lineRule="exact"/>
        <w:ind w:right="138"/>
        <w:rPr>
          <w:sz w:val="18"/>
        </w:rPr>
      </w:pPr>
      <w:r>
        <w:rPr>
          <w:sz w:val="18"/>
        </w:rPr>
        <w:t>S</w:t>
      </w:r>
      <w:r>
        <w:rPr>
          <w:rFonts w:asciiTheme="minorEastAsia" w:eastAsiaTheme="minorEastAsia" w:hAnsiTheme="minorEastAsia"/>
          <w:sz w:val="18"/>
          <w:lang w:eastAsia="zh-CN"/>
        </w:rPr>
        <w:t>hi DD</w:t>
      </w:r>
      <w:r>
        <w:rPr>
          <w:sz w:val="18"/>
        </w:rPr>
        <w:t xml:space="preserve">, Kuang YY, </w:t>
      </w:r>
      <w:r w:rsidR="00A10A22" w:rsidRPr="00A10A22">
        <w:rPr>
          <w:sz w:val="18"/>
        </w:rPr>
        <w:t>et al</w:t>
      </w:r>
      <w:r w:rsidR="00170DFA">
        <w:rPr>
          <w:rFonts w:asciiTheme="minorEastAsia" w:eastAsiaTheme="minorEastAsia" w:hAnsiTheme="minorEastAsia" w:hint="eastAsia"/>
          <w:sz w:val="18"/>
          <w:lang w:eastAsia="zh-CN"/>
        </w:rPr>
        <w:t>（2014）</w:t>
      </w:r>
      <w:r w:rsidR="00A10A22" w:rsidRPr="00A10A22">
        <w:rPr>
          <w:sz w:val="18"/>
        </w:rPr>
        <w:t>. The mechanism research on lupeol treating on breast cancer cells MCF-7 based on cell metabonomics</w:t>
      </w:r>
      <w:r w:rsidR="002F6A50">
        <w:rPr>
          <w:sz w:val="18"/>
        </w:rPr>
        <w:t>, Chinese journal of chromatography, 32:278-283</w:t>
      </w:r>
      <w:r w:rsidR="00A10A22" w:rsidRPr="00A10A22">
        <w:rPr>
          <w:sz w:val="18"/>
        </w:rPr>
        <w:t>.</w:t>
      </w:r>
    </w:p>
    <w:p w14:paraId="091560D3" w14:textId="2843358F" w:rsidR="005973B9" w:rsidRDefault="00A10A22" w:rsidP="002F6A50">
      <w:pPr>
        <w:pStyle w:val="a5"/>
        <w:numPr>
          <w:ilvl w:val="0"/>
          <w:numId w:val="3"/>
        </w:numPr>
        <w:tabs>
          <w:tab w:val="left" w:pos="384"/>
        </w:tabs>
        <w:spacing w:line="216" w:lineRule="exact"/>
        <w:ind w:right="137"/>
        <w:rPr>
          <w:sz w:val="18"/>
        </w:rPr>
      </w:pPr>
      <w:r w:rsidRPr="00A10A22">
        <w:rPr>
          <w:sz w:val="18"/>
        </w:rPr>
        <w:t>Shi</w:t>
      </w:r>
      <w:r w:rsidR="00823E7D">
        <w:rPr>
          <w:sz w:val="18"/>
        </w:rPr>
        <w:t xml:space="preserve"> DD, </w:t>
      </w:r>
      <w:r w:rsidRPr="00A10A22">
        <w:rPr>
          <w:sz w:val="18"/>
        </w:rPr>
        <w:t>Wang</w:t>
      </w:r>
      <w:r w:rsidR="00823E7D">
        <w:rPr>
          <w:sz w:val="18"/>
        </w:rPr>
        <w:t xml:space="preserve"> GM</w:t>
      </w:r>
      <w:r w:rsidRPr="00A10A22">
        <w:rPr>
          <w:sz w:val="18"/>
        </w:rPr>
        <w:t>, et al</w:t>
      </w:r>
      <w:r w:rsidR="002F6A50">
        <w:rPr>
          <w:sz w:val="18"/>
        </w:rPr>
        <w:t xml:space="preserve"> (2014)</w:t>
      </w:r>
      <w:r w:rsidRPr="00A10A22">
        <w:rPr>
          <w:sz w:val="18"/>
        </w:rPr>
        <w:t>. Metabonomics study on luteolin intervention of breast cancer MCF-7 cells</w:t>
      </w:r>
      <w:r w:rsidR="002F6A50">
        <w:rPr>
          <w:sz w:val="18"/>
        </w:rPr>
        <w:t>,</w:t>
      </w:r>
      <w:r w:rsidR="002F6A50" w:rsidRPr="002F6A50">
        <w:t xml:space="preserve"> </w:t>
      </w:r>
      <w:r w:rsidR="002F6A50" w:rsidRPr="002F6A50">
        <w:rPr>
          <w:sz w:val="18"/>
        </w:rPr>
        <w:t>Chinese Journal of Analytical Chemistry</w:t>
      </w:r>
      <w:r w:rsidR="002F6A50">
        <w:rPr>
          <w:sz w:val="18"/>
        </w:rPr>
        <w:t>,42:1088-1093.</w:t>
      </w:r>
    </w:p>
    <w:p w14:paraId="091560D6" w14:textId="6BB9F75F" w:rsidR="005973B9" w:rsidRPr="00FE3C29" w:rsidRDefault="00823E7D" w:rsidP="00823E7D">
      <w:pPr>
        <w:pStyle w:val="a5"/>
        <w:numPr>
          <w:ilvl w:val="0"/>
          <w:numId w:val="3"/>
        </w:numPr>
        <w:tabs>
          <w:tab w:val="left" w:pos="384"/>
        </w:tabs>
        <w:spacing w:line="216" w:lineRule="exact"/>
        <w:ind w:right="138"/>
        <w:rPr>
          <w:sz w:val="18"/>
        </w:rPr>
      </w:pPr>
      <w:r>
        <w:rPr>
          <w:sz w:val="18"/>
        </w:rPr>
        <w:t xml:space="preserve">Wang GM, Shi DD, et al. </w:t>
      </w:r>
      <w:r w:rsidR="00FE3C29" w:rsidRPr="00FE3C29">
        <w:rPr>
          <w:sz w:val="18"/>
        </w:rPr>
        <w:t>Study on Mechanism of Costunolide-induced Apoptosis in Breast Cancer MCF-7 Cells</w:t>
      </w:r>
      <w:r w:rsidR="002F6A50">
        <w:rPr>
          <w:sz w:val="18"/>
        </w:rPr>
        <w:t>,</w:t>
      </w:r>
      <w:r w:rsidR="002F6A50" w:rsidRPr="002F6A50">
        <w:rPr>
          <w:sz w:val="18"/>
        </w:rPr>
        <w:t xml:space="preserve"> </w:t>
      </w:r>
      <w:r w:rsidR="002F6A50" w:rsidRPr="002F6A50">
        <w:rPr>
          <w:sz w:val="18"/>
        </w:rPr>
        <w:t>Chinese Journal of Analytical Chemistry</w:t>
      </w:r>
      <w:r w:rsidR="002F6A50">
        <w:rPr>
          <w:sz w:val="18"/>
        </w:rPr>
        <w:t>,43:682-688</w:t>
      </w:r>
      <w:r w:rsidR="005973B9" w:rsidRPr="00FE3C29">
        <w:rPr>
          <w:sz w:val="18"/>
        </w:rPr>
        <w:t>.</w:t>
      </w:r>
    </w:p>
    <w:p w14:paraId="091560D7" w14:textId="50D244E7" w:rsidR="005973B9" w:rsidRDefault="00823E7D" w:rsidP="00823E7D">
      <w:pPr>
        <w:pStyle w:val="a3"/>
        <w:numPr>
          <w:ilvl w:val="0"/>
          <w:numId w:val="3"/>
        </w:numPr>
        <w:spacing w:before="85" w:line="216" w:lineRule="exact"/>
        <w:ind w:right="138"/>
        <w:jc w:val="both"/>
        <w:rPr>
          <w:rFonts w:ascii="Calibri" w:eastAsia="Calibri" w:hAnsi="Calibri" w:cs="Calibri"/>
          <w:szCs w:val="22"/>
        </w:rPr>
      </w:pPr>
      <w:r w:rsidRPr="00823E7D">
        <w:rPr>
          <w:rFonts w:ascii="Calibri" w:eastAsia="Calibri" w:hAnsi="Calibri" w:cs="Calibri"/>
          <w:szCs w:val="22"/>
        </w:rPr>
        <w:t>Peng</w:t>
      </w:r>
      <w:r>
        <w:rPr>
          <w:rFonts w:ascii="Calibri" w:eastAsia="Calibri" w:hAnsi="Calibri" w:cs="Calibri"/>
          <w:szCs w:val="22"/>
        </w:rPr>
        <w:t xml:space="preserve"> ZX, </w:t>
      </w:r>
      <w:r w:rsidRPr="00823E7D">
        <w:rPr>
          <w:rFonts w:ascii="Calibri" w:eastAsia="Calibri" w:hAnsi="Calibri" w:cs="Calibri"/>
          <w:szCs w:val="22"/>
        </w:rPr>
        <w:t>Wang</w:t>
      </w:r>
      <w:r>
        <w:rPr>
          <w:rFonts w:ascii="Calibri" w:eastAsia="Calibri" w:hAnsi="Calibri" w:cs="Calibri"/>
          <w:szCs w:val="22"/>
        </w:rPr>
        <w:t xml:space="preserve"> Y, </w:t>
      </w:r>
      <w:r w:rsidRPr="00823E7D">
        <w:rPr>
          <w:rFonts w:ascii="Calibri" w:eastAsia="Calibri" w:hAnsi="Calibri" w:cs="Calibri"/>
          <w:szCs w:val="22"/>
        </w:rPr>
        <w:t>Gu</w:t>
      </w:r>
      <w:r>
        <w:rPr>
          <w:rFonts w:ascii="Calibri" w:eastAsia="Calibri" w:hAnsi="Calibri" w:cs="Calibri"/>
          <w:szCs w:val="22"/>
        </w:rPr>
        <w:t xml:space="preserve"> X, </w:t>
      </w:r>
      <w:r w:rsidRPr="00823E7D">
        <w:rPr>
          <w:rFonts w:ascii="Calibri" w:eastAsia="Calibri" w:hAnsi="Calibri" w:cs="Calibri"/>
          <w:szCs w:val="22"/>
        </w:rPr>
        <w:t>Shi</w:t>
      </w:r>
      <w:r>
        <w:rPr>
          <w:rFonts w:ascii="Calibri" w:eastAsia="Calibri" w:hAnsi="Calibri" w:cs="Calibri"/>
          <w:szCs w:val="22"/>
        </w:rPr>
        <w:t xml:space="preserve"> DD, </w:t>
      </w:r>
      <w:r w:rsidRPr="00823E7D">
        <w:rPr>
          <w:rFonts w:ascii="Calibri" w:eastAsia="Calibri" w:hAnsi="Calibri" w:cs="Calibri"/>
          <w:szCs w:val="22"/>
        </w:rPr>
        <w:t>Yan</w:t>
      </w:r>
      <w:r>
        <w:rPr>
          <w:rFonts w:ascii="Calibri" w:eastAsia="Calibri" w:hAnsi="Calibri" w:cs="Calibri"/>
          <w:szCs w:val="22"/>
        </w:rPr>
        <w:t xml:space="preserve"> C. </w:t>
      </w:r>
      <w:r w:rsidRPr="00823E7D">
        <w:rPr>
          <w:rFonts w:ascii="Calibri" w:eastAsia="Calibri" w:hAnsi="Calibri" w:cs="Calibri"/>
          <w:szCs w:val="22"/>
        </w:rPr>
        <w:t>Rapid detection and identification of anti-breast cancer constituents of Dandelion (Taraxacum mongolicum Hand.-Mazz.) using a bioactivity-guided fractionation screening strategy based on serum pharmacology</w:t>
      </w:r>
      <w:r w:rsidR="002F6A50">
        <w:rPr>
          <w:rFonts w:ascii="Calibri" w:eastAsia="Calibri" w:hAnsi="Calibri" w:cs="Calibri"/>
          <w:szCs w:val="22"/>
        </w:rPr>
        <w:t xml:space="preserve"> (under review)</w:t>
      </w:r>
      <w:r w:rsidRPr="00823E7D">
        <w:rPr>
          <w:rFonts w:ascii="Calibri" w:eastAsia="Calibri" w:hAnsi="Calibri" w:cs="Calibri"/>
          <w:szCs w:val="22"/>
        </w:rPr>
        <w:t>.</w:t>
      </w:r>
    </w:p>
    <w:p w14:paraId="0985F353" w14:textId="26742593" w:rsidR="00823E7D" w:rsidRDefault="00823E7D" w:rsidP="00823E7D">
      <w:pPr>
        <w:pStyle w:val="a5"/>
        <w:numPr>
          <w:ilvl w:val="0"/>
          <w:numId w:val="3"/>
        </w:numPr>
        <w:tabs>
          <w:tab w:val="left" w:pos="384"/>
        </w:tabs>
        <w:spacing w:line="216" w:lineRule="exact"/>
        <w:ind w:right="138"/>
        <w:rPr>
          <w:sz w:val="18"/>
        </w:rPr>
      </w:pPr>
      <w:r w:rsidRPr="00A10A22">
        <w:rPr>
          <w:sz w:val="18"/>
        </w:rPr>
        <w:t>Shi</w:t>
      </w:r>
      <w:r>
        <w:rPr>
          <w:sz w:val="18"/>
        </w:rPr>
        <w:t xml:space="preserve"> DD, </w:t>
      </w:r>
      <w:r w:rsidRPr="00A10A22">
        <w:rPr>
          <w:sz w:val="18"/>
        </w:rPr>
        <w:t>Peng</w:t>
      </w:r>
      <w:r>
        <w:rPr>
          <w:sz w:val="18"/>
        </w:rPr>
        <w:t xml:space="preserve"> ZX,</w:t>
      </w:r>
      <w:r w:rsidRPr="00A10A22">
        <w:rPr>
          <w:sz w:val="18"/>
        </w:rPr>
        <w:t xml:space="preserve"> et al. A bioactivity-guided fractionation screening strategy in the search for anti-breast cancer ingredients from Dandelion based on Urine-pharmacology</w:t>
      </w:r>
      <w:r w:rsidR="002F6A50">
        <w:rPr>
          <w:sz w:val="18"/>
        </w:rPr>
        <w:t xml:space="preserve"> (under review)</w:t>
      </w:r>
      <w:r w:rsidRPr="00A10A22">
        <w:rPr>
          <w:sz w:val="18"/>
        </w:rPr>
        <w:t>.</w:t>
      </w:r>
    </w:p>
    <w:p w14:paraId="2489C81E" w14:textId="77777777" w:rsidR="00823E7D" w:rsidRPr="00823E7D" w:rsidRDefault="00823E7D" w:rsidP="005973B9">
      <w:pPr>
        <w:pStyle w:val="a3"/>
        <w:spacing w:before="85" w:line="216" w:lineRule="exact"/>
        <w:ind w:left="383" w:right="138" w:hanging="284"/>
        <w:jc w:val="both"/>
        <w:rPr>
          <w:rFonts w:ascii="Calibri" w:eastAsia="Calibri" w:hAnsi="Calibri" w:cs="Calibri"/>
          <w:szCs w:val="22"/>
        </w:rPr>
      </w:pPr>
    </w:p>
    <w:p w14:paraId="091560D8" w14:textId="77777777" w:rsidR="00AE3E37" w:rsidRPr="008756E6" w:rsidRDefault="00AE3E37" w:rsidP="008756E6">
      <w:pPr>
        <w:tabs>
          <w:tab w:val="left" w:pos="384"/>
        </w:tabs>
        <w:ind w:right="117"/>
      </w:pPr>
    </w:p>
    <w:p w14:paraId="091560D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91560DA" w14:textId="77777777" w:rsidR="00AE3E37" w:rsidRDefault="00AE3E37">
      <w:pPr>
        <w:pStyle w:val="a3"/>
        <w:rPr>
          <w:rFonts w:ascii="Calibri"/>
          <w:sz w:val="20"/>
        </w:rPr>
      </w:pPr>
    </w:p>
    <w:p w14:paraId="091560DB" w14:textId="77777777"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14:anchorId="091560E8" wp14:editId="091560E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94F3D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91560DC" w14:textId="54702EA2" w:rsidR="00AE3E37" w:rsidRDefault="008756E6" w:rsidP="00404E5B">
      <w:pPr>
        <w:spacing w:before="92"/>
        <w:ind w:right="4234"/>
        <w:rPr>
          <w:rFonts w:ascii="Arial"/>
        </w:rPr>
      </w:pPr>
      <w:r>
        <w:rPr>
          <w:noProof/>
        </w:rPr>
        <w:t xml:space="preserve">              </w:t>
      </w:r>
      <w:r w:rsidR="0062329A">
        <w:rPr>
          <w:noProof/>
          <w:lang w:eastAsia="zh-CN"/>
        </w:rPr>
        <w:drawing>
          <wp:inline distT="0" distB="0" distL="0" distR="0" wp14:anchorId="19CDEEA2" wp14:editId="7536DAAE">
            <wp:extent cx="471600" cy="687600"/>
            <wp:effectExtent l="0" t="0" r="5080" b="0"/>
            <wp:docPr id="4" name="图片 4" descr="C:\Users\z\AppData\Local\Microsoft\Windows\INetCacheContent.Word\护照通行证照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z\AppData\Local\Microsoft\Windows\INetCacheContent.Word\护照通行证照片.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600" cy="687600"/>
                    </a:xfrm>
                    <a:prstGeom prst="rect">
                      <a:avLst/>
                    </a:prstGeom>
                    <a:noFill/>
                    <a:ln>
                      <a:noFill/>
                    </a:ln>
                  </pic:spPr>
                </pic:pic>
              </a:graphicData>
            </a:graphic>
          </wp:inline>
        </w:drawing>
      </w:r>
      <w:bookmarkStart w:id="0" w:name="_GoBack"/>
      <w:bookmarkEnd w:id="0"/>
      <w:r w:rsidR="00A9710C">
        <w:rPr>
          <w:rFonts w:ascii="Arial"/>
          <w:color w:val="BF5A14"/>
        </w:rPr>
        <w:t>Biography</w:t>
      </w:r>
      <w:r w:rsidR="00404E5B">
        <w:rPr>
          <w:rFonts w:ascii="Arial"/>
          <w:color w:val="BF5A14"/>
        </w:rPr>
        <w:t xml:space="preserve"> (150 word limit)</w:t>
      </w:r>
    </w:p>
    <w:p w14:paraId="091560DD" w14:textId="364D3D56" w:rsidR="00AE3E37" w:rsidRDefault="00823E7D" w:rsidP="00823E7D">
      <w:pPr>
        <w:spacing w:before="41" w:line="154" w:lineRule="exact"/>
        <w:ind w:left="213" w:right="231"/>
        <w:jc w:val="both"/>
        <w:rPr>
          <w:rFonts w:ascii="Arial"/>
          <w:sz w:val="14"/>
        </w:rPr>
      </w:pPr>
      <w:r>
        <w:rPr>
          <w:rFonts w:ascii="Arial"/>
          <w:sz w:val="14"/>
        </w:rPr>
        <w:t xml:space="preserve">Shi Dongdong has experience in analysis and neurobiology. I have many </w:t>
      </w:r>
      <w:r w:rsidRPr="00823E7D">
        <w:rPr>
          <w:rFonts w:ascii="Arial"/>
          <w:sz w:val="14"/>
        </w:rPr>
        <w:t>experimental skills. For example, skills about operating analysis instruments: HPLC, UPLC, PCEC. HPLC-ELSD, HPLC-MS, UPLC-MS, etc and statistical analysis; molecular and cellular biology techniques including cell culture, cell viability assay, FACS analysis, PCR, Western blot as well as skills about proteomics and metabonomics; data an</w:t>
      </w:r>
      <w:r>
        <w:rPr>
          <w:rFonts w:ascii="Arial"/>
          <w:sz w:val="14"/>
        </w:rPr>
        <w:t xml:space="preserve">alysis skills: Data-processing </w:t>
      </w:r>
      <w:r w:rsidRPr="00823E7D">
        <w:rPr>
          <w:rFonts w:ascii="Arial"/>
          <w:sz w:val="14"/>
        </w:rPr>
        <w:t>software: SPSS, SigmaPlot, SIMCA-P, Masslynx, Origin</w:t>
      </w:r>
      <w:r w:rsidR="00A9710C">
        <w:rPr>
          <w:rFonts w:ascii="Arial"/>
          <w:sz w:val="14"/>
        </w:rPr>
        <w:t>.</w:t>
      </w:r>
    </w:p>
    <w:p w14:paraId="091560DE" w14:textId="1B9A8941" w:rsidR="00AE3E37" w:rsidRDefault="00A9710C">
      <w:pPr>
        <w:spacing w:before="62"/>
        <w:ind w:left="4217" w:right="4235"/>
        <w:jc w:val="center"/>
        <w:rPr>
          <w:rFonts w:ascii="Arial"/>
          <w:sz w:val="14"/>
        </w:rPr>
      </w:pPr>
      <w:r>
        <w:rPr>
          <w:rFonts w:ascii="Arial"/>
          <w:sz w:val="14"/>
        </w:rPr>
        <w:t xml:space="preserve">Email: </w:t>
      </w:r>
      <w:r w:rsidR="00823E7D">
        <w:rPr>
          <w:rFonts w:ascii="Arial"/>
          <w:sz w:val="14"/>
        </w:rPr>
        <w:t>laural.dong.shi@gmail.com</w:t>
      </w:r>
    </w:p>
    <w:p w14:paraId="091560DF" w14:textId="77777777"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091560EC" wp14:editId="091560E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4CCD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91560E0" w14:textId="77777777" w:rsidR="00AE3E37" w:rsidRDefault="00AE3E37">
      <w:pPr>
        <w:pStyle w:val="a3"/>
        <w:rPr>
          <w:rFonts w:ascii="Arial"/>
          <w:sz w:val="20"/>
        </w:rPr>
      </w:pPr>
    </w:p>
    <w:p w14:paraId="091560E1" w14:textId="77777777" w:rsidR="00AE3E37" w:rsidRDefault="00AE3E37">
      <w:pPr>
        <w:pStyle w:val="a3"/>
        <w:rPr>
          <w:rFonts w:ascii="Arial"/>
          <w:sz w:val="20"/>
        </w:rPr>
      </w:pPr>
    </w:p>
    <w:p w14:paraId="091560E4" w14:textId="535A47DA" w:rsidR="00AE3E37" w:rsidRPr="00823E7D" w:rsidRDefault="00AE3E37" w:rsidP="00823E7D">
      <w:pPr>
        <w:spacing w:before="39"/>
        <w:rPr>
          <w:rFonts w:ascii="Minion Pro"/>
          <w:b/>
          <w:sz w:val="20"/>
        </w:rPr>
        <w:sectPr w:rsidR="00AE3E37" w:rsidRPr="00823E7D">
          <w:type w:val="continuous"/>
          <w:pgSz w:w="11910" w:h="16840"/>
          <w:pgMar w:top="1740" w:right="600" w:bottom="840" w:left="620" w:header="720" w:footer="720" w:gutter="0"/>
          <w:cols w:space="720"/>
        </w:sectPr>
      </w:pPr>
    </w:p>
    <w:p w14:paraId="091560E5"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560F0" w14:textId="77777777" w:rsidR="009A760F" w:rsidRDefault="009A760F">
      <w:r>
        <w:separator/>
      </w:r>
    </w:p>
  </w:endnote>
  <w:endnote w:type="continuationSeparator" w:id="0">
    <w:p w14:paraId="091560F1" w14:textId="77777777" w:rsidR="009A760F" w:rsidRDefault="009A7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0" w:usb1="08080000" w:usb2="00000010" w:usb3="00000000" w:csb0="001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60F3"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091560F8" wp14:editId="091560F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61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561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560F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0915610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91561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091560FA" wp14:editId="091560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61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15610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60F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915610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915610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091560FC" wp14:editId="091560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61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1561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60F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915610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09156106"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1560EE" w14:textId="77777777" w:rsidR="009A760F" w:rsidRDefault="009A760F">
      <w:r>
        <w:separator/>
      </w:r>
    </w:p>
  </w:footnote>
  <w:footnote w:type="continuationSeparator" w:id="0">
    <w:p w14:paraId="091560EF" w14:textId="77777777" w:rsidR="009A760F" w:rsidRDefault="009A7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60F2"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091560F4" wp14:editId="091560F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60F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1560F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091560F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091560F6" wp14:editId="091560F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560F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1561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1560F6"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91560F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9156100"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85686F44"/>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8142C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70DFA"/>
    <w:rsid w:val="001C6714"/>
    <w:rsid w:val="00292ED9"/>
    <w:rsid w:val="002F6A50"/>
    <w:rsid w:val="00331AB3"/>
    <w:rsid w:val="00371E23"/>
    <w:rsid w:val="00404E5B"/>
    <w:rsid w:val="00414F7B"/>
    <w:rsid w:val="004355DC"/>
    <w:rsid w:val="004749B4"/>
    <w:rsid w:val="00486A6E"/>
    <w:rsid w:val="00494130"/>
    <w:rsid w:val="004F3523"/>
    <w:rsid w:val="005973B9"/>
    <w:rsid w:val="005B3A56"/>
    <w:rsid w:val="00604E84"/>
    <w:rsid w:val="006060CE"/>
    <w:rsid w:val="0062329A"/>
    <w:rsid w:val="0063497F"/>
    <w:rsid w:val="006F111E"/>
    <w:rsid w:val="00795CB6"/>
    <w:rsid w:val="007D77E7"/>
    <w:rsid w:val="00823E7D"/>
    <w:rsid w:val="00873DF0"/>
    <w:rsid w:val="008756E6"/>
    <w:rsid w:val="008E5EAE"/>
    <w:rsid w:val="009A760F"/>
    <w:rsid w:val="009B2D44"/>
    <w:rsid w:val="009F4D88"/>
    <w:rsid w:val="00A07E82"/>
    <w:rsid w:val="00A10A22"/>
    <w:rsid w:val="00A9710C"/>
    <w:rsid w:val="00AE3E37"/>
    <w:rsid w:val="00B1128A"/>
    <w:rsid w:val="00B21A57"/>
    <w:rsid w:val="00BB5F9C"/>
    <w:rsid w:val="00C33602"/>
    <w:rsid w:val="00CD6F55"/>
    <w:rsid w:val="00DE3104"/>
    <w:rsid w:val="00E217E5"/>
    <w:rsid w:val="00EE7C3D"/>
    <w:rsid w:val="00F66302"/>
    <w:rsid w:val="00F72EEA"/>
    <w:rsid w:val="00F84CAE"/>
    <w:rsid w:val="00FA0820"/>
    <w:rsid w:val="00FB6EF8"/>
    <w:rsid w:val="00FE3C2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91560C8"/>
  <w15:docId w15:val="{3A0B1089-24B9-4198-8282-9CCAC2F0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334</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dd s</cp:lastModifiedBy>
  <cp:revision>9</cp:revision>
  <dcterms:created xsi:type="dcterms:W3CDTF">2016-08-31T12:23:00Z</dcterms:created>
  <dcterms:modified xsi:type="dcterms:W3CDTF">2017-03-02T04:03:00Z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