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49734" w14:textId="77777777" w:rsidR="00C9780B" w:rsidRDefault="00C9780B" w:rsidP="00C9780B">
      <w:pPr>
        <w:spacing w:line="240" w:lineRule="atLeast"/>
        <w:rPr>
          <w:rFonts w:eastAsia="MS PGothic"/>
          <w:bCs/>
          <w:color w:val="000000"/>
          <w:sz w:val="28"/>
          <w:szCs w:val="28"/>
        </w:rPr>
      </w:pPr>
      <w:r>
        <w:rPr>
          <w:rFonts w:eastAsia="MS PGothic"/>
          <w:b/>
          <w:color w:val="000000"/>
          <w:sz w:val="28"/>
          <w:szCs w:val="28"/>
        </w:rPr>
        <w:t xml:space="preserve">Title: </w:t>
      </w:r>
      <w:r w:rsidRPr="00C9780B">
        <w:rPr>
          <w:rFonts w:eastAsia="MS PGothic"/>
          <w:bCs/>
          <w:color w:val="000000"/>
          <w:sz w:val="28"/>
          <w:szCs w:val="28"/>
        </w:rPr>
        <w:t>Serum Sortilin is Associated with Coronary Artery Calcification and Cardiovascular and Cerebrovascular Events in Maintenance Hemodialysis Patients</w:t>
      </w:r>
    </w:p>
    <w:p w14:paraId="2397E867" w14:textId="2AA6D8E0" w:rsidR="00C9780B" w:rsidRDefault="00C9780B" w:rsidP="00C9780B">
      <w:pPr>
        <w:spacing w:line="240" w:lineRule="atLeast"/>
        <w:rPr>
          <w:rFonts w:eastAsia="MS PGothic" w:hAnsi="Arial"/>
          <w:color w:val="000000"/>
        </w:rPr>
      </w:pPr>
      <w:r>
        <w:rPr>
          <w:rFonts w:eastAsia="MS PGothic" w:hAnsi="Arial"/>
          <w:color w:val="000000"/>
        </w:rPr>
        <w:br/>
        <w:t xml:space="preserve">Name: </w:t>
      </w:r>
      <w:r w:rsidRPr="00C9780B">
        <w:rPr>
          <w:rFonts w:eastAsia="MS PGothic" w:hAnsi="Arial" w:hint="eastAsia"/>
          <w:color w:val="000000"/>
        </w:rPr>
        <w:t>Jie Xu</w:t>
      </w:r>
      <w:r w:rsidRPr="00C9780B">
        <w:rPr>
          <w:rFonts w:eastAsia="MS PGothic" w:hAnsi="Arial" w:hint="eastAsia"/>
          <w:color w:val="000000"/>
          <w:vertAlign w:val="superscript"/>
        </w:rPr>
        <w:t>a</w:t>
      </w:r>
      <w:r w:rsidRPr="00C9780B">
        <w:rPr>
          <w:rFonts w:eastAsia="MS PGothic" w:hAnsi="Arial" w:hint="eastAsia"/>
          <w:color w:val="000000"/>
        </w:rPr>
        <w:t>, Chan-Juan Shen</w:t>
      </w:r>
      <w:r w:rsidRPr="00C9780B">
        <w:rPr>
          <w:rFonts w:eastAsia="MS PGothic" w:hAnsi="Arial" w:hint="eastAsia"/>
          <w:color w:val="000000"/>
          <w:vertAlign w:val="superscript"/>
        </w:rPr>
        <w:t>b</w:t>
      </w:r>
      <w:r w:rsidRPr="00C9780B">
        <w:rPr>
          <w:rFonts w:eastAsia="MS PGothic" w:hAnsi="Arial" w:hint="eastAsia"/>
          <w:color w:val="000000"/>
        </w:rPr>
        <w:t>, Joshua D. Ooi</w:t>
      </w:r>
      <w:r w:rsidRPr="00C9780B">
        <w:rPr>
          <w:rFonts w:eastAsia="MS PGothic" w:hAnsi="Arial" w:hint="eastAsia"/>
          <w:color w:val="000000"/>
          <w:vertAlign w:val="superscript"/>
        </w:rPr>
        <w:t>c</w:t>
      </w:r>
      <w:r w:rsidRPr="00C9780B">
        <w:rPr>
          <w:rFonts w:eastAsia="MS PGothic" w:hAnsi="Arial" w:hint="eastAsia"/>
          <w:color w:val="000000"/>
        </w:rPr>
        <w:t>, Yang-Shuo Tang</w:t>
      </w:r>
      <w:r w:rsidRPr="00C9780B">
        <w:rPr>
          <w:rFonts w:eastAsia="MS PGothic" w:hAnsi="Arial" w:hint="eastAsia"/>
          <w:color w:val="000000"/>
          <w:vertAlign w:val="superscript"/>
        </w:rPr>
        <w:t>d</w:t>
      </w:r>
      <w:r w:rsidRPr="00C9780B">
        <w:rPr>
          <w:rFonts w:eastAsia="MS PGothic" w:hAnsi="Arial" w:hint="eastAsia"/>
          <w:color w:val="000000"/>
        </w:rPr>
        <w:t>, Zhou Xiao</w:t>
      </w:r>
      <w:r w:rsidRPr="00C9780B">
        <w:rPr>
          <w:rFonts w:eastAsia="MS PGothic" w:hAnsi="Arial" w:hint="eastAsia"/>
          <w:color w:val="000000"/>
          <w:vertAlign w:val="superscript"/>
        </w:rPr>
        <w:t>a</w:t>
      </w:r>
      <w:r w:rsidRPr="00C9780B">
        <w:rPr>
          <w:rFonts w:eastAsia="MS PGothic" w:hAnsi="Arial" w:hint="eastAsia"/>
          <w:color w:val="000000"/>
        </w:rPr>
        <w:t>, Qiong-Jing Yuan</w:t>
      </w:r>
      <w:r w:rsidRPr="00C9780B">
        <w:rPr>
          <w:rFonts w:eastAsia="MS PGothic" w:hAnsi="Arial" w:hint="eastAsia"/>
          <w:color w:val="000000"/>
          <w:vertAlign w:val="superscript"/>
        </w:rPr>
        <w:t>a</w:t>
      </w:r>
      <w:r w:rsidRPr="00C9780B">
        <w:rPr>
          <w:rFonts w:eastAsia="MS PGothic" w:hAnsi="Arial" w:hint="eastAsia"/>
          <w:color w:val="000000"/>
        </w:rPr>
        <w:t>, Yong Zhong</w:t>
      </w:r>
      <w:r w:rsidRPr="00C9780B">
        <w:rPr>
          <w:rFonts w:eastAsia="MS PGothic" w:hAnsi="Arial" w:hint="eastAsia"/>
          <w:color w:val="000000"/>
          <w:vertAlign w:val="superscript"/>
        </w:rPr>
        <w:t>a</w:t>
      </w:r>
      <w:r w:rsidRPr="00C9780B">
        <w:rPr>
          <w:rFonts w:eastAsia="MS PGothic" w:hAnsi="Arial" w:hint="eastAsia"/>
          <w:color w:val="000000"/>
        </w:rPr>
        <w:t>*</w:t>
      </w:r>
      <w:r w:rsidRPr="00C9780B">
        <w:rPr>
          <w:rFonts w:eastAsia="MS PGothic" w:hAnsi="Arial" w:hint="eastAsia"/>
          <w:color w:val="000000"/>
        </w:rPr>
        <w:t>，</w:t>
      </w:r>
      <w:r w:rsidRPr="00C9780B">
        <w:rPr>
          <w:rFonts w:eastAsia="MS PGothic" w:hAnsi="Arial" w:hint="eastAsia"/>
          <w:color w:val="000000"/>
        </w:rPr>
        <w:t>Qiao-Ling Zhou</w:t>
      </w:r>
      <w:r w:rsidRPr="00C9780B">
        <w:rPr>
          <w:rFonts w:eastAsia="MS PGothic" w:hAnsi="Arial" w:hint="eastAsia"/>
          <w:color w:val="000000"/>
          <w:vertAlign w:val="superscript"/>
        </w:rPr>
        <w:t>a</w:t>
      </w:r>
      <w:r w:rsidRPr="00C9780B">
        <w:rPr>
          <w:rFonts w:eastAsia="MS PGothic" w:hAnsi="Arial" w:hint="eastAsia"/>
          <w:color w:val="000000"/>
        </w:rPr>
        <w:t>*</w:t>
      </w:r>
    </w:p>
    <w:p w14:paraId="69AAEC20" w14:textId="77777777" w:rsidR="00C9780B" w:rsidRPr="00C9780B" w:rsidRDefault="00C9780B" w:rsidP="00C9780B">
      <w:pPr>
        <w:rPr>
          <w:rFonts w:eastAsia="MS PGothic" w:hAnsi="Arial"/>
          <w:color w:val="000000"/>
        </w:rPr>
      </w:pPr>
      <w:r w:rsidRPr="00C9780B">
        <w:rPr>
          <w:rFonts w:eastAsia="MS PGothic" w:hAnsi="Arial"/>
          <w:color w:val="000000"/>
        </w:rPr>
        <w:t>a Department of Nephrology, Xiangya Hospital, Central South University, Changsha, Hunan Province, China.</w:t>
      </w:r>
    </w:p>
    <w:p w14:paraId="5D3188BA" w14:textId="77777777" w:rsidR="00C9780B" w:rsidRPr="00C9780B" w:rsidRDefault="00C9780B" w:rsidP="00C9780B">
      <w:pPr>
        <w:rPr>
          <w:rFonts w:eastAsia="MS PGothic" w:hAnsi="Arial"/>
          <w:color w:val="000000"/>
        </w:rPr>
      </w:pPr>
      <w:r w:rsidRPr="00C9780B">
        <w:rPr>
          <w:rFonts w:eastAsia="MS PGothic" w:hAnsi="Arial"/>
          <w:color w:val="000000"/>
        </w:rPr>
        <w:t>b Department of Hematology, the Affiliated Zhuzhou Hospital Xiangya Medical College, Central South University, Zhuzhou, Hunan Province, China.</w:t>
      </w:r>
    </w:p>
    <w:p w14:paraId="50572023" w14:textId="77777777" w:rsidR="00C9780B" w:rsidRPr="00C9780B" w:rsidRDefault="00C9780B" w:rsidP="00C9780B">
      <w:pPr>
        <w:rPr>
          <w:rFonts w:eastAsia="MS PGothic" w:hAnsi="Arial"/>
          <w:color w:val="000000"/>
        </w:rPr>
      </w:pPr>
      <w:r w:rsidRPr="00C9780B">
        <w:rPr>
          <w:rFonts w:eastAsia="MS PGothic" w:hAnsi="Arial"/>
          <w:color w:val="000000"/>
        </w:rPr>
        <w:t>c Centre for Inflammatory Diseases, Monash University, Clayton, Victoria, 3168, Australia.</w:t>
      </w:r>
    </w:p>
    <w:p w14:paraId="551A012B" w14:textId="0ED98727" w:rsidR="00C9780B" w:rsidRDefault="00C9780B" w:rsidP="00C9780B">
      <w:pPr>
        <w:rPr>
          <w:rFonts w:eastAsia="MS PGothic" w:hAnsi="Arial"/>
          <w:color w:val="000000"/>
        </w:rPr>
      </w:pPr>
      <w:r w:rsidRPr="00C9780B">
        <w:rPr>
          <w:rFonts w:eastAsia="MS PGothic" w:hAnsi="Arial"/>
          <w:color w:val="000000"/>
        </w:rPr>
        <w:t>d Department of Ultrasonography, Xiangya Hospital, Central South University, Changsha, Hunan, China.</w:t>
      </w:r>
    </w:p>
    <w:p w14:paraId="4A228DCD" w14:textId="77777777" w:rsidR="00C9780B" w:rsidRDefault="00C9780B" w:rsidP="00C9780B">
      <w:pPr>
        <w:rPr>
          <w:rFonts w:eastAsia="Batang"/>
          <w:color w:val="0000FF"/>
          <w:sz w:val="36"/>
          <w:szCs w:val="36"/>
        </w:rPr>
      </w:pPr>
    </w:p>
    <w:p w14:paraId="135EB20A" w14:textId="6A13E35A" w:rsidR="00C9780B" w:rsidRPr="00C9780B" w:rsidRDefault="00C9780B" w:rsidP="00C9780B">
      <w:pPr>
        <w:jc w:val="both"/>
        <w:rPr>
          <w:rFonts w:eastAsia="MS PGothic"/>
          <w:b/>
          <w:bCs/>
          <w:color w:val="000000"/>
          <w:szCs w:val="32"/>
        </w:rPr>
      </w:pPr>
      <w:r w:rsidRPr="00C9780B">
        <w:rPr>
          <w:rFonts w:eastAsia="MS PGothic"/>
          <w:b/>
          <w:bCs/>
          <w:color w:val="000000"/>
          <w:szCs w:val="32"/>
        </w:rPr>
        <w:t>Objective</w:t>
      </w:r>
      <w:r>
        <w:rPr>
          <w:rFonts w:hint="eastAsia"/>
          <w:b/>
          <w:bCs/>
          <w:color w:val="000000"/>
          <w:szCs w:val="32"/>
          <w:lang w:eastAsia="zh-CN"/>
        </w:rPr>
        <w:t xml:space="preserve"> </w:t>
      </w:r>
      <w:r w:rsidRPr="00C9780B">
        <w:rPr>
          <w:rFonts w:eastAsia="MS PGothic"/>
          <w:color w:val="000000"/>
          <w:szCs w:val="32"/>
        </w:rPr>
        <w:t>To analyze the role of serum sortilin in coronary artery calcification (CAC) and cardiovascular and cerebrovascular events (CCE) in maintenance hemodialysis (MHD) patients.</w:t>
      </w:r>
      <w:r>
        <w:rPr>
          <w:rFonts w:hint="eastAsia"/>
          <w:b/>
          <w:bCs/>
          <w:color w:val="000000"/>
          <w:szCs w:val="32"/>
          <w:lang w:eastAsia="zh-CN"/>
        </w:rPr>
        <w:t xml:space="preserve"> </w:t>
      </w:r>
      <w:r w:rsidRPr="00C9780B">
        <w:rPr>
          <w:rFonts w:eastAsia="MS PGothic"/>
          <w:b/>
          <w:bCs/>
          <w:color w:val="000000"/>
          <w:szCs w:val="32"/>
        </w:rPr>
        <w:t>Methods</w:t>
      </w:r>
      <w:r>
        <w:rPr>
          <w:rFonts w:hint="eastAsia"/>
          <w:b/>
          <w:bCs/>
          <w:color w:val="000000"/>
          <w:szCs w:val="32"/>
          <w:lang w:eastAsia="zh-CN"/>
        </w:rPr>
        <w:t xml:space="preserve"> </w:t>
      </w:r>
      <w:r w:rsidRPr="00C9780B">
        <w:rPr>
          <w:rFonts w:eastAsia="MS PGothic" w:hint="eastAsia"/>
          <w:color w:val="000000"/>
          <w:szCs w:val="32"/>
        </w:rPr>
        <w:t xml:space="preserve">111 patients with MHD </w:t>
      </w:r>
      <w:r w:rsidRPr="00C9780B">
        <w:rPr>
          <w:rFonts w:eastAsia="MS PGothic" w:hint="eastAsia"/>
          <w:color w:val="000000"/>
          <w:szCs w:val="32"/>
        </w:rPr>
        <w:t>≥</w:t>
      </w:r>
      <w:r w:rsidRPr="00C9780B">
        <w:rPr>
          <w:rFonts w:eastAsia="MS PGothic" w:hint="eastAsia"/>
          <w:color w:val="000000"/>
          <w:szCs w:val="32"/>
        </w:rPr>
        <w:t xml:space="preserve"> 3 months were included in this study. The general data, clinical features, hematological data, and medication history of the patients were recorded. 85 cases were examined by vascular color Doppler ultrasound, cardiac color Doppler </w:t>
      </w:r>
      <w:r w:rsidRPr="00C9780B">
        <w:rPr>
          <w:rFonts w:eastAsia="MS PGothic"/>
          <w:color w:val="000000"/>
          <w:szCs w:val="32"/>
        </w:rPr>
        <w:t>ultrasound, lateral lumbar radiography, and coronary artery calcification score (CACs). The patients were followed up for a median time of 45 months. The primary endpoint was CCE or death from a vascular event, and the role of sortilin in this process was analyzed.</w:t>
      </w:r>
      <w:r>
        <w:rPr>
          <w:rFonts w:hint="eastAsia"/>
          <w:b/>
          <w:bCs/>
          <w:color w:val="000000"/>
          <w:szCs w:val="32"/>
          <w:lang w:eastAsia="zh-CN"/>
        </w:rPr>
        <w:t xml:space="preserve"> </w:t>
      </w:r>
      <w:r w:rsidRPr="00C9780B">
        <w:rPr>
          <w:rFonts w:eastAsia="MS PGothic"/>
          <w:b/>
          <w:bCs/>
          <w:color w:val="000000"/>
          <w:szCs w:val="32"/>
        </w:rPr>
        <w:t>Results</w:t>
      </w:r>
      <w:r>
        <w:rPr>
          <w:rFonts w:hint="eastAsia"/>
          <w:b/>
          <w:bCs/>
          <w:color w:val="000000"/>
          <w:szCs w:val="32"/>
          <w:lang w:eastAsia="zh-CN"/>
        </w:rPr>
        <w:t xml:space="preserve"> </w:t>
      </w:r>
      <w:r w:rsidRPr="00C9780B">
        <w:rPr>
          <w:rFonts w:eastAsia="MS PGothic"/>
          <w:color w:val="000000"/>
          <w:szCs w:val="32"/>
        </w:rPr>
        <w:t xml:space="preserve">Among 85 MHD patients, 51 cases (60.00%) had different degrees of coronary artery calcification. There were significant differences in diabetes, dialysis time, serum phosphorus, calcium-phosphorus product, medical history of phosphate binders, sortilin, and carotid artery plaque between four different degrees of calcification groups (P&lt;0.05). Logistic regression analysis showed that diabetes (OR=5.475; 95% CI 1.794-16.71, P=0.003), calcium-phosphorus product (OR=2.953; 95% CI 1.198-7.279, P = 0.019) and sortilin (OR=1.475 per100pg/ml; 95%CI 1.170-1.858, p=0.001) were independent risk factors for CAC. During the follow-up, 28 cases of 111 patients (25.23%) suffered from CCE. There were significant differences in CCE between mild, moderate, and severe coronary artery calcification groups and non-calcification groups (P&lt;0.05). Cox regression analysis showed that diabetes mellitus (HR 3.424; 95% CI 1.348-8.701, P=0.010), CAC (HR 5.210; 95% CI 1.093-24.83, P=0.038) and serum sortilin (HR = 8.588; 95% CI 1.919-38.43, P=0.005) were independent risk factors for CCE. Besides, we proposed a cut-off value of 418pg/ml for serum sortilin level, which was able to predict the occurrence of CCE with 75.0% sensitivity and 71.9% specificity. The area under the curve was </w:t>
      </w:r>
      <w:r w:rsidRPr="00C9780B">
        <w:rPr>
          <w:rFonts w:eastAsia="MS PGothic"/>
          <w:color w:val="000000"/>
          <w:szCs w:val="32"/>
        </w:rPr>
        <w:lastRenderedPageBreak/>
        <w:t>0.778(95%CI 0.673-0.883).</w:t>
      </w:r>
      <w:r>
        <w:rPr>
          <w:rFonts w:hint="eastAsia"/>
          <w:b/>
          <w:bCs/>
          <w:color w:val="000000"/>
          <w:szCs w:val="32"/>
          <w:lang w:eastAsia="zh-CN"/>
        </w:rPr>
        <w:t xml:space="preserve"> </w:t>
      </w:r>
      <w:r w:rsidRPr="00C9780B">
        <w:rPr>
          <w:rFonts w:eastAsia="MS PGothic"/>
          <w:b/>
          <w:bCs/>
          <w:color w:val="000000"/>
          <w:szCs w:val="32"/>
        </w:rPr>
        <w:t>Conclusions</w:t>
      </w:r>
      <w:r>
        <w:rPr>
          <w:rFonts w:hint="eastAsia"/>
          <w:b/>
          <w:bCs/>
          <w:color w:val="000000"/>
          <w:szCs w:val="32"/>
          <w:lang w:eastAsia="zh-CN"/>
        </w:rPr>
        <w:t xml:space="preserve"> </w:t>
      </w:r>
      <w:r w:rsidRPr="00C9780B">
        <w:rPr>
          <w:rFonts w:eastAsia="MS PGothic"/>
          <w:color w:val="000000"/>
          <w:szCs w:val="32"/>
        </w:rPr>
        <w:t>Sortilin is newly found to be independently associated with CAC and CCE in MHD patients.</w:t>
      </w:r>
    </w:p>
    <w:p w14:paraId="07406F6D" w14:textId="77777777" w:rsidR="00C9780B" w:rsidRDefault="00C9780B" w:rsidP="00C9780B">
      <w:pPr>
        <w:jc w:val="both"/>
        <w:rPr>
          <w:color w:val="000000"/>
        </w:rPr>
      </w:pPr>
    </w:p>
    <w:p w14:paraId="62738570" w14:textId="77777777" w:rsidR="00C9780B" w:rsidRDefault="00C9780B" w:rsidP="00C9780B">
      <w:pPr>
        <w:jc w:val="both"/>
        <w:rPr>
          <w:b/>
        </w:rPr>
      </w:pPr>
      <w:r>
        <w:rPr>
          <w:b/>
        </w:rPr>
        <w:t>Biography</w:t>
      </w:r>
    </w:p>
    <w:p w14:paraId="04D2FE78" w14:textId="77777777" w:rsidR="00C9780B" w:rsidRDefault="00C9780B" w:rsidP="00C9780B">
      <w:pPr>
        <w:jc w:val="both"/>
      </w:pPr>
      <w:r w:rsidRPr="00B9571A">
        <w:rPr>
          <w:rFonts w:eastAsia="MS PGothic" w:hAnsi="Arial"/>
          <w:color w:val="000000"/>
        </w:rPr>
        <w:t>Jie Xu</w:t>
      </w:r>
      <w:r>
        <w:t xml:space="preserve"> has completed his PhD at the age of 29 years from </w:t>
      </w:r>
      <w:r w:rsidRPr="00B9571A">
        <w:rPr>
          <w:rFonts w:eastAsia="MS PGothic" w:hAnsi="Arial"/>
          <w:color w:val="000000"/>
        </w:rPr>
        <w:t>Xiangya Hospital</w:t>
      </w:r>
      <w:r>
        <w:rPr>
          <w:rFonts w:eastAsia="MS PGothic" w:hAnsi="Arial"/>
          <w:color w:val="000000"/>
        </w:rPr>
        <w:t xml:space="preserve"> of</w:t>
      </w:r>
      <w:r w:rsidRPr="00B9571A">
        <w:rPr>
          <w:rFonts w:eastAsia="MS PGothic" w:hAnsi="Arial"/>
          <w:color w:val="000000"/>
        </w:rPr>
        <w:t xml:space="preserve"> Central South University</w:t>
      </w:r>
      <w:r>
        <w:t xml:space="preserve">. </w:t>
      </w:r>
      <w:r w:rsidRPr="0093749D">
        <w:t>She is engaged in clinical and research work in nephrology</w:t>
      </w:r>
      <w:r>
        <w:t xml:space="preserve"> for several years and has published 3 papers </w:t>
      </w:r>
      <w:r w:rsidRPr="00F9089E">
        <w:t>in reputed journals</w:t>
      </w:r>
      <w:r>
        <w:t>.</w:t>
      </w:r>
    </w:p>
    <w:p w14:paraId="2D7900D6" w14:textId="77777777" w:rsidR="00C9780B" w:rsidRPr="00A41107" w:rsidRDefault="00C9780B" w:rsidP="00C9780B">
      <w:pPr>
        <w:jc w:val="both"/>
        <w:rPr>
          <w:rFonts w:eastAsia="MS PGothic"/>
          <w:b/>
          <w:color w:val="000000"/>
          <w:szCs w:val="32"/>
        </w:rPr>
      </w:pPr>
    </w:p>
    <w:p w14:paraId="1621D0E9" w14:textId="77777777" w:rsidR="00C9780B" w:rsidRPr="008A690F" w:rsidRDefault="00C9780B" w:rsidP="00C9780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Jie Xu</w:t>
      </w:r>
      <w:r w:rsidRPr="008A690F">
        <w:rPr>
          <w:lang w:val="en-NZ"/>
        </w:rPr>
        <w:br/>
        <w:t>Contact number:</w:t>
      </w:r>
      <w:r>
        <w:rPr>
          <w:lang w:val="en-NZ"/>
        </w:rPr>
        <w:t xml:space="preserve"> 18874255012</w:t>
      </w:r>
      <w:r w:rsidRPr="008A690F">
        <w:rPr>
          <w:lang w:val="en-NZ"/>
        </w:rPr>
        <w:br/>
        <w:t>Twitter account:</w:t>
      </w:r>
      <w:r>
        <w:rPr>
          <w:lang w:val="en-NZ"/>
        </w:rPr>
        <w:t xml:space="preserve"> No</w:t>
      </w:r>
      <w:r w:rsidRPr="008A690F">
        <w:rPr>
          <w:lang w:val="en-NZ"/>
        </w:rPr>
        <w:br/>
        <w:t>Linked In account:</w:t>
      </w:r>
      <w:r>
        <w:rPr>
          <w:lang w:val="en-NZ"/>
        </w:rPr>
        <w:t xml:space="preserve"> murmansk2020@163.com</w:t>
      </w:r>
    </w:p>
    <w:p w14:paraId="621F5070" w14:textId="14A344CA" w:rsidR="00CB2BE5" w:rsidRPr="00C9780B" w:rsidRDefault="00C9780B" w:rsidP="00C9780B">
      <w:pPr>
        <w:autoSpaceDE w:val="0"/>
        <w:autoSpaceDN w:val="0"/>
        <w:adjustRightInd w:val="0"/>
        <w:rPr>
          <w:lang w:val="en-NZ"/>
        </w:rPr>
      </w:pPr>
      <w:r w:rsidRPr="008A690F">
        <w:rPr>
          <w:lang w:val="en-NZ"/>
        </w:rPr>
        <w:t>Session name/ number:</w:t>
      </w:r>
      <w:r>
        <w:rPr>
          <w:lang w:val="en-NZ"/>
        </w:rPr>
        <w:t xml:space="preserve"> </w:t>
      </w:r>
      <w:r w:rsidRPr="008A690F">
        <w:rPr>
          <w:lang w:val="en-NZ"/>
        </w:rPr>
        <w:br/>
        <w:t>Category: Oral presentation</w:t>
      </w:r>
    </w:p>
    <w:sectPr w:rsidR="00CB2BE5" w:rsidRPr="00C978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0B"/>
    <w:rsid w:val="00C9780B"/>
    <w:rsid w:val="00CB2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02A7"/>
  <w15:chartTrackingRefBased/>
  <w15:docId w15:val="{6BB8E6C6-23B1-4301-9740-58F47EC3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80B"/>
    <w:rPr>
      <w:rFonts w:ascii="Times New Roman" w:hAnsi="Times New Roman" w:cs="Times New Roman"/>
      <w:kern w:val="0"/>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487</Words>
  <Characters>2779</Characters>
  <Application>Microsoft Office Word</Application>
  <DocSecurity>0</DocSecurity>
  <Lines>23</Lines>
  <Paragraphs>6</Paragraphs>
  <ScaleCrop>false</ScaleCrop>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1095790417@qq.com</dc:creator>
  <cp:keywords/>
  <dc:description/>
  <cp:lastModifiedBy>1095790417@qq.com</cp:lastModifiedBy>
  <cp:revision>1</cp:revision>
  <dcterms:created xsi:type="dcterms:W3CDTF">2021-09-24T13:56:00Z</dcterms:created>
  <dcterms:modified xsi:type="dcterms:W3CDTF">2021-09-24T14:03:00Z</dcterms:modified>
</cp:coreProperties>
</file>