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2A9" w:rsidRDefault="004632A9" w:rsidP="003B54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15" w:lineRule="atLeast"/>
        <w:jc w:val="both"/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</w:pPr>
      <w:r w:rsidRPr="000214D7">
        <w:rPr>
          <w:rFonts w:asciiTheme="majorBidi" w:eastAsia="Times New Roman" w:hAnsiTheme="majorBidi" w:cstheme="majorBidi"/>
          <w:color w:val="222222"/>
          <w:sz w:val="32"/>
          <w:szCs w:val="32"/>
          <w:lang w:val="en-US"/>
        </w:rPr>
        <w:t xml:space="preserve">Temporary vascular access and their impact in patients on chronic </w:t>
      </w:r>
      <w:proofErr w:type="spellStart"/>
      <w:r w:rsidRPr="000214D7">
        <w:rPr>
          <w:rFonts w:asciiTheme="majorBidi" w:eastAsia="Times New Roman" w:hAnsiTheme="majorBidi" w:cstheme="majorBidi"/>
          <w:color w:val="222222"/>
          <w:sz w:val="32"/>
          <w:szCs w:val="32"/>
          <w:lang w:val="en-US"/>
        </w:rPr>
        <w:t>hemodialysis</w:t>
      </w:r>
      <w:proofErr w:type="spellEnd"/>
      <w:r w:rsidRPr="000214D7">
        <w:rPr>
          <w:rFonts w:asciiTheme="majorBidi" w:eastAsia="Times New Roman" w:hAnsiTheme="majorBidi" w:cstheme="majorBidi"/>
          <w:color w:val="222222"/>
          <w:sz w:val="32"/>
          <w:szCs w:val="32"/>
          <w:lang w:val="en-US"/>
        </w:rPr>
        <w:t xml:space="preserve">: </w:t>
      </w:r>
      <w:r w:rsidR="000214D7">
        <w:rPr>
          <w:rFonts w:asciiTheme="majorBidi" w:eastAsia="Times New Roman" w:hAnsiTheme="majorBidi" w:cstheme="majorBidi"/>
          <w:color w:val="222222"/>
          <w:sz w:val="32"/>
          <w:szCs w:val="32"/>
          <w:lang w:val="en-US"/>
        </w:rPr>
        <w:t xml:space="preserve"> </w:t>
      </w:r>
      <w:r w:rsidRPr="000214D7">
        <w:rPr>
          <w:rFonts w:asciiTheme="majorBidi" w:eastAsia="Times New Roman" w:hAnsiTheme="majorBidi" w:cstheme="majorBidi"/>
          <w:color w:val="222222"/>
          <w:sz w:val="32"/>
          <w:szCs w:val="32"/>
          <w:lang w:val="en-US"/>
        </w:rPr>
        <w:t>results through our experience</w:t>
      </w:r>
      <w:r w:rsidR="00A14073" w:rsidRPr="000214D7"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  <w:t>.</w:t>
      </w:r>
    </w:p>
    <w:p w:rsidR="00D364F1" w:rsidRPr="005F6E0C" w:rsidRDefault="00D364F1" w:rsidP="003B54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15" w:lineRule="atLeast"/>
        <w:jc w:val="both"/>
        <w:rPr>
          <w:rFonts w:asciiTheme="majorBidi" w:eastAsia="Times New Roman" w:hAnsiTheme="majorBidi" w:cstheme="majorBidi"/>
          <w:b/>
          <w:bCs/>
          <w:color w:val="222222"/>
          <w:sz w:val="28"/>
          <w:szCs w:val="28"/>
          <w:lang w:val="en-US"/>
        </w:rPr>
      </w:pPr>
    </w:p>
    <w:p w:rsidR="000214D7" w:rsidRDefault="000214D7" w:rsidP="003B54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15" w:lineRule="atLeast"/>
        <w:jc w:val="both"/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</w:pPr>
      <w:r w:rsidRPr="00D364F1"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  <w:t xml:space="preserve">D. </w:t>
      </w:r>
      <w:r w:rsidR="00CD69CB" w:rsidRPr="00D364F1"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  <w:t>Gouja</w:t>
      </w:r>
      <w:r w:rsidR="002638D6" w:rsidRPr="00D364F1"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  <w:t>¹</w:t>
      </w:r>
      <w:r w:rsidR="00CD69CB" w:rsidRPr="00D364F1"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  <w:t>,</w:t>
      </w:r>
      <w:r w:rsidR="00CD69CB" w:rsidRPr="00CD69CB"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  <w:t xml:space="preserve"> S. </w:t>
      </w:r>
      <w:proofErr w:type="spellStart"/>
      <w:r w:rsidR="00CD69CB" w:rsidRPr="00CD69CB"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  <w:t>Toumi</w:t>
      </w:r>
      <w:proofErr w:type="spellEnd"/>
      <w:r w:rsidR="00CD69CB" w:rsidRPr="00CD69CB"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  <w:t xml:space="preserve">, O. </w:t>
      </w:r>
      <w:proofErr w:type="spellStart"/>
      <w:r w:rsidR="00CD69CB" w:rsidRPr="00CD69CB"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  <w:t>Zini</w:t>
      </w:r>
      <w:proofErr w:type="spellEnd"/>
      <w:r w:rsidR="00CD69CB" w:rsidRPr="00CD69CB"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  <w:t xml:space="preserve">, H. </w:t>
      </w:r>
      <w:proofErr w:type="spellStart"/>
      <w:r w:rsidR="00CD69CB" w:rsidRPr="00CD69CB"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  <w:t>Chaker</w:t>
      </w:r>
      <w:proofErr w:type="spellEnd"/>
      <w:r w:rsidR="00CD69CB" w:rsidRPr="00CD69CB"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  <w:t xml:space="preserve">, N. </w:t>
      </w:r>
      <w:proofErr w:type="spellStart"/>
      <w:r w:rsidR="00CD69CB" w:rsidRPr="00CD69CB"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  <w:t>Damak</w:t>
      </w:r>
      <w:proofErr w:type="spellEnd"/>
      <w:r w:rsidR="00CD69CB" w:rsidRPr="00CD69CB"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  <w:t xml:space="preserve">, I. </w:t>
      </w:r>
      <w:proofErr w:type="spellStart"/>
      <w:r w:rsidR="00CD69CB" w:rsidRPr="00CD69CB"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  <w:t>A</w:t>
      </w:r>
      <w:r w:rsidR="00CD69CB"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  <w:t>grebi</w:t>
      </w:r>
      <w:proofErr w:type="spellEnd"/>
      <w:r w:rsidR="00CD69CB"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  <w:t xml:space="preserve">, S. </w:t>
      </w:r>
      <w:proofErr w:type="spellStart"/>
      <w:r w:rsidR="00CD69CB"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  <w:t>Yaich</w:t>
      </w:r>
      <w:proofErr w:type="spellEnd"/>
      <w:r w:rsidR="00CD69CB"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  <w:t xml:space="preserve">, K. </w:t>
      </w:r>
      <w:proofErr w:type="spellStart"/>
      <w:r w:rsidR="00CD69CB"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  <w:t>Kammoun</w:t>
      </w:r>
      <w:proofErr w:type="spellEnd"/>
      <w:r w:rsidR="00CD69CB"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  <w:t xml:space="preserve">, </w:t>
      </w:r>
      <w:r w:rsidR="005F6E0C"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  <w:t xml:space="preserve">M. Ben </w:t>
      </w:r>
      <w:proofErr w:type="spellStart"/>
      <w:r w:rsidR="005F6E0C"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  <w:t>Hmida</w:t>
      </w:r>
      <w:proofErr w:type="spellEnd"/>
    </w:p>
    <w:p w:rsidR="00A14073" w:rsidRDefault="00A14073" w:rsidP="002638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15" w:lineRule="atLeast"/>
        <w:jc w:val="both"/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</w:pPr>
    </w:p>
    <w:p w:rsidR="002638D6" w:rsidRPr="00CD69CB" w:rsidRDefault="002638D6" w:rsidP="002638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15" w:lineRule="atLeast"/>
        <w:jc w:val="both"/>
        <w:rPr>
          <w:rFonts w:asciiTheme="majorBidi" w:eastAsia="Times New Roman" w:hAnsiTheme="majorBidi" w:cstheme="majorBidi"/>
          <w:color w:val="222222"/>
          <w:sz w:val="28"/>
          <w:szCs w:val="28"/>
          <w:lang w:val="en-US"/>
        </w:rPr>
      </w:pPr>
    </w:p>
    <w:p w:rsidR="00A14073" w:rsidRPr="000214D7" w:rsidRDefault="00A14073" w:rsidP="000214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Theme="majorBidi" w:eastAsia="Times New Roman" w:hAnsiTheme="majorBidi" w:cstheme="majorBidi"/>
          <w:color w:val="222222"/>
          <w:sz w:val="24"/>
          <w:szCs w:val="24"/>
          <w:lang w:val="en-US"/>
        </w:rPr>
      </w:pPr>
      <w:r w:rsidRPr="005F6E0C">
        <w:rPr>
          <w:rFonts w:asciiTheme="majorBidi" w:eastAsia="Times New Roman" w:hAnsiTheme="majorBidi" w:cstheme="majorBidi"/>
          <w:b/>
          <w:bCs/>
          <w:color w:val="222222"/>
          <w:sz w:val="32"/>
          <w:szCs w:val="32"/>
          <w:lang w:val="en-US"/>
        </w:rPr>
        <w:t>Introduction</w:t>
      </w:r>
      <w:r w:rsidRPr="000214D7">
        <w:rPr>
          <w:rFonts w:asciiTheme="majorBidi" w:eastAsia="Times New Roman" w:hAnsiTheme="majorBidi" w:cstheme="majorBidi"/>
          <w:color w:val="222222"/>
          <w:sz w:val="24"/>
          <w:szCs w:val="24"/>
          <w:lang w:val="en-US"/>
        </w:rPr>
        <w:t>:</w:t>
      </w:r>
    </w:p>
    <w:p w:rsidR="00A14073" w:rsidRPr="000214D7" w:rsidRDefault="00A14073" w:rsidP="000214D7">
      <w:pPr>
        <w:pStyle w:val="PrformatHTML"/>
        <w:spacing w:line="360" w:lineRule="auto"/>
        <w:jc w:val="both"/>
        <w:rPr>
          <w:rFonts w:asciiTheme="majorBidi" w:hAnsiTheme="majorBidi" w:cstheme="majorBidi"/>
          <w:color w:val="222222"/>
          <w:sz w:val="24"/>
          <w:szCs w:val="24"/>
          <w:lang w:val="en-US"/>
        </w:rPr>
      </w:pPr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Despite advances in the treatment of chronic kidney disease, vascular access remains the lifeline and the weak link in </w:t>
      </w:r>
      <w:proofErr w:type="spellStart"/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hemodialysis</w:t>
      </w:r>
      <w:proofErr w:type="spellEnd"/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 replacement therapy.</w:t>
      </w:r>
    </w:p>
    <w:p w:rsidR="003062A8" w:rsidRPr="000214D7" w:rsidRDefault="003062A8" w:rsidP="000214D7">
      <w:pPr>
        <w:pStyle w:val="PrformatHTML"/>
        <w:spacing w:line="360" w:lineRule="auto"/>
        <w:jc w:val="both"/>
        <w:rPr>
          <w:rFonts w:asciiTheme="majorBidi" w:hAnsiTheme="majorBidi" w:cstheme="majorBidi"/>
          <w:color w:val="222222"/>
          <w:sz w:val="24"/>
          <w:szCs w:val="24"/>
          <w:lang w:val="en-US"/>
        </w:rPr>
      </w:pPr>
      <w:r w:rsidRPr="000214D7">
        <w:rPr>
          <w:rFonts w:asciiTheme="majorBidi" w:hAnsiTheme="majorBidi" w:cstheme="majorBidi"/>
          <w:sz w:val="24"/>
          <w:szCs w:val="24"/>
          <w:lang w:val="en-US"/>
        </w:rPr>
        <w:br/>
      </w:r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Our objective is to specify the different indications for the placement of central venous catheters (CVC), type of catheters and their insertion sites as well as their complications.</w:t>
      </w:r>
    </w:p>
    <w:p w:rsidR="00A14073" w:rsidRPr="000214D7" w:rsidRDefault="00761B60" w:rsidP="000214D7">
      <w:pPr>
        <w:pStyle w:val="PrformatHTML"/>
        <w:spacing w:line="360" w:lineRule="auto"/>
        <w:jc w:val="both"/>
        <w:rPr>
          <w:rFonts w:asciiTheme="majorBidi" w:hAnsiTheme="majorBidi" w:cstheme="majorBidi"/>
          <w:color w:val="222222"/>
          <w:sz w:val="24"/>
          <w:szCs w:val="24"/>
          <w:lang w:val="en-US"/>
        </w:rPr>
      </w:pPr>
      <w:r w:rsidRPr="000214D7">
        <w:rPr>
          <w:rFonts w:asciiTheme="majorBidi" w:hAnsiTheme="majorBidi" w:cstheme="majorBidi"/>
          <w:b/>
          <w:bCs/>
          <w:color w:val="222222"/>
          <w:sz w:val="24"/>
          <w:szCs w:val="24"/>
          <w:lang w:val="en-US"/>
        </w:rPr>
        <w:t>Materials and methods</w:t>
      </w:r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:</w:t>
      </w:r>
    </w:p>
    <w:p w:rsidR="00761B60" w:rsidRPr="000214D7" w:rsidRDefault="003A659B" w:rsidP="000214D7">
      <w:pPr>
        <w:pStyle w:val="PrformatHTML"/>
        <w:spacing w:line="360" w:lineRule="auto"/>
        <w:jc w:val="both"/>
        <w:rPr>
          <w:rFonts w:asciiTheme="majorBidi" w:hAnsiTheme="majorBidi" w:cstheme="majorBidi"/>
          <w:color w:val="222222"/>
          <w:sz w:val="24"/>
          <w:szCs w:val="24"/>
          <w:lang w:val="en-US"/>
        </w:rPr>
      </w:pPr>
      <w:r w:rsidRPr="000214D7">
        <w:rPr>
          <w:rFonts w:asciiTheme="majorBidi" w:hAnsiTheme="majorBidi" w:cstheme="majorBidi"/>
          <w:sz w:val="24"/>
          <w:szCs w:val="24"/>
          <w:lang w:val="en-US"/>
        </w:rPr>
        <w:br/>
      </w:r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We conducted a cross-sectional study on the year 2019 at the </w:t>
      </w:r>
      <w:proofErr w:type="spellStart"/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he</w:t>
      </w:r>
      <w:r w:rsidR="00C81C4A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modialysis</w:t>
      </w:r>
      <w:proofErr w:type="spellEnd"/>
      <w:r w:rsidR="00C81C4A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 center (HD) of the </w:t>
      </w:r>
      <w:proofErr w:type="spellStart"/>
      <w:r w:rsidR="00C81C4A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He</w:t>
      </w:r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di</w:t>
      </w:r>
      <w:proofErr w:type="spellEnd"/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 </w:t>
      </w:r>
      <w:proofErr w:type="spellStart"/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Chaker</w:t>
      </w:r>
      <w:proofErr w:type="spellEnd"/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 hospital in </w:t>
      </w:r>
      <w:proofErr w:type="spellStart"/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Sfax</w:t>
      </w:r>
      <w:proofErr w:type="spellEnd"/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. 82 chronic dialysis patients via a central venous catheter</w:t>
      </w:r>
      <w:r w:rsidR="002308DD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 (CVC)</w:t>
      </w:r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 were collected during this year.</w:t>
      </w:r>
    </w:p>
    <w:p w:rsidR="00EF4BEE" w:rsidRPr="005F6E0C" w:rsidRDefault="00EF4BEE" w:rsidP="007E4B2C">
      <w:pPr>
        <w:pStyle w:val="PrformatHTML"/>
        <w:shd w:val="clear" w:color="auto" w:fill="FFFFFF" w:themeFill="background1"/>
        <w:spacing w:line="360" w:lineRule="auto"/>
        <w:jc w:val="both"/>
        <w:rPr>
          <w:rFonts w:asciiTheme="majorBidi" w:hAnsiTheme="majorBidi" w:cstheme="majorBidi"/>
          <w:b/>
          <w:bCs/>
          <w:color w:val="222222"/>
          <w:sz w:val="32"/>
          <w:szCs w:val="32"/>
          <w:shd w:val="clear" w:color="auto" w:fill="F8F9FA"/>
          <w:lang w:val="en-US"/>
        </w:rPr>
      </w:pPr>
      <w:r w:rsidRPr="005F6E0C">
        <w:rPr>
          <w:rFonts w:asciiTheme="majorBidi" w:hAnsiTheme="majorBidi" w:cstheme="majorBidi"/>
          <w:b/>
          <w:bCs/>
          <w:color w:val="222222"/>
          <w:sz w:val="32"/>
          <w:szCs w:val="32"/>
          <w:shd w:val="clear" w:color="auto" w:fill="F8F9FA"/>
          <w:lang w:val="en-US"/>
        </w:rPr>
        <w:t>Results:</w:t>
      </w:r>
    </w:p>
    <w:p w:rsidR="00EF4BEE" w:rsidRPr="000214D7" w:rsidRDefault="00EF4BEE" w:rsidP="000214D7">
      <w:pPr>
        <w:pStyle w:val="PrformatHTML"/>
        <w:spacing w:line="360" w:lineRule="auto"/>
        <w:jc w:val="both"/>
        <w:rPr>
          <w:rFonts w:asciiTheme="majorBidi" w:hAnsiTheme="majorBidi" w:cstheme="majorBidi"/>
          <w:color w:val="222222"/>
          <w:sz w:val="24"/>
          <w:szCs w:val="24"/>
          <w:lang w:val="en-US"/>
        </w:rPr>
      </w:pPr>
      <w:r w:rsidRPr="000214D7">
        <w:rPr>
          <w:rFonts w:asciiTheme="majorBidi" w:hAnsiTheme="majorBidi" w:cstheme="majorBidi"/>
          <w:sz w:val="24"/>
          <w:szCs w:val="24"/>
          <w:lang w:val="en-US"/>
        </w:rPr>
        <w:br/>
      </w:r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Emergency patients regardless of the indic</w:t>
      </w:r>
      <w:r w:rsidR="0005281A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ation were not included. CVC were only made</w:t>
      </w:r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 in 33 patients (40%). The average age for this</w:t>
      </w:r>
      <w:r w:rsidR="000A6A84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 group</w:t>
      </w:r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 was 50.4 +/- 17.3 years. The sex ratio was 1.16. The average seniority in HD was 23 months (2-120 months)</w:t>
      </w:r>
      <w:r w:rsidR="00EC7404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.</w:t>
      </w:r>
    </w:p>
    <w:p w:rsidR="00464059" w:rsidRPr="000214D7" w:rsidRDefault="00EC7404" w:rsidP="000214D7">
      <w:pPr>
        <w:pStyle w:val="PrformatHTML"/>
        <w:spacing w:line="360" w:lineRule="auto"/>
        <w:jc w:val="both"/>
        <w:rPr>
          <w:rFonts w:asciiTheme="majorBidi" w:hAnsiTheme="majorBidi" w:cstheme="majorBidi"/>
          <w:color w:val="222222"/>
          <w:sz w:val="24"/>
          <w:szCs w:val="24"/>
          <w:lang w:val="en-US"/>
        </w:rPr>
      </w:pPr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33 patients had acute non-tunneled catheters: 17 catheters (51.5%)</w:t>
      </w:r>
      <w:r w:rsidR="00464059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 were undergone</w:t>
      </w:r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 at the femoral level, 16 catheters (48.5%) at the internal jugular level. The indications were as follows: 2 cases (6%) of vital emergency, 23 cases (69.7%) awaiting the preparation of an </w:t>
      </w:r>
      <w:proofErr w:type="spellStart"/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arteriovenous</w:t>
      </w:r>
      <w:proofErr w:type="spellEnd"/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 fistula (AVF) or its maturation</w:t>
      </w:r>
      <w:r w:rsidR="00464059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,</w:t>
      </w:r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 10 cases (30.3%) for dysfunction of their vascular access and for 2 patients (6%) during a switch of peritoneal dialysis in HD.</w:t>
      </w:r>
    </w:p>
    <w:p w:rsidR="00EC7404" w:rsidRPr="000214D7" w:rsidRDefault="00464059" w:rsidP="000214D7">
      <w:pPr>
        <w:pStyle w:val="PrformatHTML"/>
        <w:spacing w:line="360" w:lineRule="auto"/>
        <w:jc w:val="both"/>
        <w:rPr>
          <w:rFonts w:asciiTheme="majorBidi" w:hAnsiTheme="majorBidi" w:cstheme="majorBidi"/>
          <w:color w:val="222222"/>
          <w:sz w:val="24"/>
          <w:szCs w:val="24"/>
          <w:lang w:val="en-US"/>
        </w:rPr>
      </w:pPr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 Two</w:t>
      </w:r>
      <w:r w:rsidR="00EC7404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 patients ha</w:t>
      </w:r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d a chronic or tunneled catheter</w:t>
      </w:r>
      <w:r w:rsidR="00EC7404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.</w:t>
      </w:r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 </w:t>
      </w:r>
      <w:r w:rsidR="00EC7404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The indications were: one case of an elderly patient with failed creation of an AVF and two cases of total exhaustion of the anatomical sites. The insertion</w:t>
      </w:r>
      <w:r w:rsidR="0066155A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 site was the internal jugular venous</w:t>
      </w:r>
      <w:r w:rsidR="00EC7404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 for these 2 patients</w:t>
      </w:r>
      <w:r w:rsidR="0066155A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.</w:t>
      </w:r>
    </w:p>
    <w:p w:rsidR="0066155A" w:rsidRPr="000214D7" w:rsidRDefault="0066155A" w:rsidP="000214D7">
      <w:pPr>
        <w:pStyle w:val="PrformatHTML"/>
        <w:spacing w:line="360" w:lineRule="auto"/>
        <w:jc w:val="both"/>
        <w:rPr>
          <w:rFonts w:asciiTheme="majorBidi" w:hAnsiTheme="majorBidi" w:cstheme="majorBidi"/>
          <w:color w:val="222222"/>
          <w:sz w:val="24"/>
          <w:szCs w:val="24"/>
          <w:lang w:val="en-US"/>
        </w:rPr>
      </w:pPr>
      <w:r w:rsidRPr="000214D7">
        <w:rPr>
          <w:rFonts w:asciiTheme="majorBidi" w:hAnsiTheme="majorBidi" w:cstheme="majorBidi"/>
          <w:sz w:val="24"/>
          <w:szCs w:val="24"/>
          <w:lang w:val="en-US"/>
        </w:rPr>
        <w:br/>
      </w:r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The average CVC usage time was 1.4 months (21 days - 3 months)</w:t>
      </w:r>
      <w:r w:rsidR="00933147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.</w:t>
      </w:r>
    </w:p>
    <w:p w:rsidR="00933147" w:rsidRPr="000214D7" w:rsidRDefault="00933147" w:rsidP="000214D7">
      <w:pPr>
        <w:pStyle w:val="PrformatHTML"/>
        <w:spacing w:line="360" w:lineRule="auto"/>
        <w:jc w:val="both"/>
        <w:rPr>
          <w:rFonts w:asciiTheme="majorBidi" w:hAnsiTheme="majorBidi" w:cstheme="majorBidi"/>
          <w:color w:val="222222"/>
          <w:sz w:val="24"/>
          <w:szCs w:val="24"/>
          <w:lang w:val="en-US"/>
        </w:rPr>
      </w:pPr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lastRenderedPageBreak/>
        <w:t>T</w:t>
      </w:r>
      <w:r w:rsidR="00464059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he total of CVC complications was</w:t>
      </w:r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 around 25.3% dominated by catheter infections</w:t>
      </w:r>
      <w:r w:rsidR="00464059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 which were </w:t>
      </w:r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identified in 18.9% of cases. Mechanical complications represent</w:t>
      </w:r>
      <w:r w:rsidR="00A274BD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ed 2.7% (</w:t>
      </w:r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1 case of co</w:t>
      </w:r>
      <w:r w:rsidR="00631A8A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mpression hematoma on jugular catheter</w:t>
      </w:r>
      <w:r w:rsidR="00A274BD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)</w:t>
      </w:r>
      <w:r w:rsidR="00631A8A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.</w:t>
      </w:r>
    </w:p>
    <w:p w:rsidR="009D759D" w:rsidRPr="000214D7" w:rsidRDefault="009D759D" w:rsidP="000214D7">
      <w:pPr>
        <w:pStyle w:val="PrformatHTML"/>
        <w:spacing w:line="360" w:lineRule="auto"/>
        <w:jc w:val="both"/>
        <w:rPr>
          <w:rFonts w:asciiTheme="majorBidi" w:hAnsiTheme="majorBidi" w:cstheme="majorBidi"/>
          <w:color w:val="222222"/>
          <w:sz w:val="24"/>
          <w:szCs w:val="24"/>
          <w:lang w:val="en-US"/>
        </w:rPr>
      </w:pPr>
      <w:proofErr w:type="spellStart"/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Thromboembolic</w:t>
      </w:r>
      <w:proofErr w:type="spellEnd"/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 complications represent</w:t>
      </w:r>
      <w:r w:rsidR="00A274BD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ed</w:t>
      </w:r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 2.7% of cases (the occurrence of </w:t>
      </w:r>
      <w:proofErr w:type="spellStart"/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ilio</w:t>
      </w:r>
      <w:proofErr w:type="spellEnd"/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-femoral </w:t>
      </w:r>
      <w:proofErr w:type="spellStart"/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thrombophlebitis</w:t>
      </w:r>
      <w:proofErr w:type="spellEnd"/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 favored by postoperative bed rest of a </w:t>
      </w:r>
      <w:proofErr w:type="spellStart"/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parathyroidectomy</w:t>
      </w:r>
      <w:proofErr w:type="spellEnd"/>
      <w:r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.</w:t>
      </w:r>
    </w:p>
    <w:p w:rsidR="009D759D" w:rsidRDefault="009D759D" w:rsidP="00D364F1">
      <w:pPr>
        <w:pStyle w:val="PrformatHTML"/>
        <w:spacing w:line="360" w:lineRule="auto"/>
        <w:jc w:val="both"/>
        <w:rPr>
          <w:rFonts w:asciiTheme="majorBidi" w:hAnsiTheme="majorBidi" w:cstheme="majorBidi"/>
          <w:color w:val="222222"/>
          <w:sz w:val="24"/>
          <w:szCs w:val="24"/>
          <w:lang w:val="en-US"/>
        </w:rPr>
      </w:pPr>
      <w:r w:rsidRPr="007E4B2C">
        <w:rPr>
          <w:rFonts w:asciiTheme="majorBidi" w:hAnsiTheme="majorBidi" w:cstheme="majorBidi"/>
          <w:b/>
          <w:bCs/>
          <w:color w:val="222222"/>
          <w:sz w:val="32"/>
          <w:szCs w:val="32"/>
          <w:lang w:val="en-US"/>
        </w:rPr>
        <w:t>Conclusion</w:t>
      </w:r>
      <w:proofErr w:type="gramStart"/>
      <w:r w:rsidRPr="007E4B2C">
        <w:rPr>
          <w:rFonts w:asciiTheme="majorBidi" w:hAnsiTheme="majorBidi" w:cstheme="majorBidi"/>
          <w:color w:val="222222"/>
          <w:sz w:val="32"/>
          <w:szCs w:val="32"/>
          <w:lang w:val="en-US"/>
        </w:rPr>
        <w:t>:</w:t>
      </w:r>
      <w:proofErr w:type="gramEnd"/>
      <w:r w:rsidR="00CE5770" w:rsidRPr="000214D7">
        <w:rPr>
          <w:rFonts w:asciiTheme="majorBidi" w:hAnsiTheme="majorBidi" w:cstheme="majorBidi"/>
          <w:sz w:val="24"/>
          <w:szCs w:val="24"/>
          <w:lang w:val="en-US"/>
        </w:rPr>
        <w:br/>
      </w:r>
      <w:r w:rsidR="00CE5770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The use of temporary vascular access remains common practice due to the prolonged waiting period for the preparation or repair of an AV</w:t>
      </w:r>
      <w:r w:rsidR="003B54EE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F, which</w:t>
      </w:r>
      <w:r w:rsidR="00CE5770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 increased </w:t>
      </w:r>
      <w:r w:rsidR="00A274BD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a </w:t>
      </w:r>
      <w:r w:rsidR="006C31C7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particular </w:t>
      </w:r>
      <w:r w:rsidR="00CE5770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vigil</w:t>
      </w:r>
      <w:r w:rsidR="006C31C7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ance </w:t>
      </w:r>
      <w:r w:rsidR="00C87131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in order </w:t>
      </w:r>
      <w:r w:rsidR="00CE5770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to minimize the risk of infection while vigorously respecting the </w:t>
      </w:r>
      <w:r w:rsidR="00B35A02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asepsis</w:t>
      </w:r>
      <w:r w:rsidR="00A97D01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’</w:t>
      </w:r>
      <w:r w:rsidR="00B35A02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 </w:t>
      </w:r>
      <w:r w:rsidR="00A97D01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rules </w:t>
      </w:r>
      <w:r w:rsidR="00CE5770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by manipulating them</w:t>
      </w:r>
      <w:r w:rsidR="00A274BD" w:rsidRPr="000214D7">
        <w:rPr>
          <w:rFonts w:asciiTheme="majorBidi" w:hAnsiTheme="majorBidi" w:cstheme="majorBidi"/>
          <w:color w:val="222222"/>
          <w:sz w:val="24"/>
          <w:szCs w:val="24"/>
          <w:lang w:val="en-US"/>
        </w:rPr>
        <w:t>.</w:t>
      </w:r>
    </w:p>
    <w:p w:rsidR="00D364F1" w:rsidRDefault="00D364F1" w:rsidP="00D364F1">
      <w:pPr>
        <w:pStyle w:val="PrformatHTML"/>
        <w:spacing w:line="360" w:lineRule="auto"/>
        <w:jc w:val="both"/>
        <w:rPr>
          <w:rFonts w:asciiTheme="majorBidi" w:hAnsiTheme="majorBidi" w:cstheme="majorBidi"/>
          <w:color w:val="222222"/>
          <w:sz w:val="24"/>
          <w:szCs w:val="24"/>
          <w:lang w:val="en-US"/>
        </w:rPr>
      </w:pPr>
      <w:r>
        <w:rPr>
          <w:rFonts w:asciiTheme="majorBidi" w:hAnsiTheme="majorBidi" w:cstheme="majorBidi"/>
          <w:color w:val="222222"/>
          <w:sz w:val="24"/>
          <w:szCs w:val="24"/>
          <w:lang w:val="en-US"/>
        </w:rPr>
        <w:t xml:space="preserve">1Gouja </w:t>
      </w:r>
      <w:proofErr w:type="spellStart"/>
      <w:r>
        <w:rPr>
          <w:rFonts w:asciiTheme="majorBidi" w:hAnsiTheme="majorBidi" w:cstheme="majorBidi"/>
          <w:color w:val="222222"/>
          <w:sz w:val="24"/>
          <w:szCs w:val="24"/>
          <w:lang w:val="en-US"/>
        </w:rPr>
        <w:t>Dorsaf</w:t>
      </w:r>
      <w:proofErr w:type="spellEnd"/>
    </w:p>
    <w:p w:rsidR="00D364F1" w:rsidRDefault="00D364F1" w:rsidP="00D364F1">
      <w:pPr>
        <w:pStyle w:val="PrformatHTML"/>
        <w:spacing w:line="360" w:lineRule="auto"/>
        <w:jc w:val="both"/>
        <w:rPr>
          <w:rFonts w:asciiTheme="majorBidi" w:hAnsiTheme="majorBidi" w:cstheme="majorBidi"/>
          <w:color w:val="222222"/>
          <w:sz w:val="24"/>
          <w:szCs w:val="24"/>
          <w:lang w:val="en-US"/>
        </w:rPr>
      </w:pPr>
      <w:hyperlink r:id="rId4" w:history="1">
        <w:r w:rsidRPr="00AB7A92">
          <w:rPr>
            <w:rStyle w:val="Lienhypertexte"/>
            <w:rFonts w:asciiTheme="majorBidi" w:hAnsiTheme="majorBidi" w:cstheme="majorBidi"/>
            <w:sz w:val="24"/>
            <w:szCs w:val="24"/>
            <w:lang w:val="en-US"/>
          </w:rPr>
          <w:t>dorsafgouja@gmail.com</w:t>
        </w:r>
      </w:hyperlink>
    </w:p>
    <w:p w:rsidR="00D364F1" w:rsidRDefault="00D364F1" w:rsidP="00D364F1">
      <w:pPr>
        <w:pStyle w:val="PrformatHTML"/>
        <w:spacing w:line="360" w:lineRule="auto"/>
        <w:jc w:val="both"/>
        <w:rPr>
          <w:rFonts w:asciiTheme="majorBidi" w:hAnsiTheme="majorBidi" w:cstheme="majorBidi"/>
          <w:color w:val="222222"/>
          <w:sz w:val="24"/>
          <w:szCs w:val="24"/>
          <w:lang w:val="en-US"/>
        </w:rPr>
      </w:pPr>
    </w:p>
    <w:p w:rsidR="00D364F1" w:rsidRDefault="00D364F1" w:rsidP="00D364F1">
      <w:pPr>
        <w:pStyle w:val="PrformatHTML"/>
        <w:spacing w:line="360" w:lineRule="auto"/>
        <w:jc w:val="both"/>
        <w:rPr>
          <w:rFonts w:asciiTheme="majorBidi" w:hAnsiTheme="majorBidi" w:cstheme="majorBidi"/>
          <w:color w:val="222222"/>
          <w:sz w:val="24"/>
          <w:szCs w:val="24"/>
          <w:lang w:val="en-US"/>
        </w:rPr>
      </w:pPr>
    </w:p>
    <w:p w:rsidR="00D364F1" w:rsidRPr="00D364F1" w:rsidRDefault="00D364F1" w:rsidP="00D364F1">
      <w:pPr>
        <w:pStyle w:val="PrformatHTML"/>
        <w:spacing w:line="360" w:lineRule="auto"/>
        <w:jc w:val="both"/>
        <w:rPr>
          <w:rFonts w:asciiTheme="majorBidi" w:hAnsiTheme="majorBidi" w:cstheme="majorBidi"/>
          <w:color w:val="222222"/>
          <w:sz w:val="32"/>
          <w:szCs w:val="32"/>
          <w:lang w:val="en-US"/>
        </w:rPr>
      </w:pPr>
    </w:p>
    <w:p w:rsidR="009D759D" w:rsidRPr="000214D7" w:rsidRDefault="009D759D" w:rsidP="000214D7">
      <w:pPr>
        <w:pStyle w:val="PrformatHTML"/>
        <w:spacing w:line="360" w:lineRule="auto"/>
        <w:jc w:val="both"/>
        <w:rPr>
          <w:rFonts w:asciiTheme="majorBidi" w:hAnsiTheme="majorBidi" w:cstheme="majorBidi"/>
          <w:color w:val="222222"/>
          <w:sz w:val="24"/>
          <w:szCs w:val="24"/>
          <w:lang w:val="en-US"/>
        </w:rPr>
      </w:pPr>
    </w:p>
    <w:p w:rsidR="00933147" w:rsidRPr="000214D7" w:rsidRDefault="00933147" w:rsidP="000214D7">
      <w:pPr>
        <w:pStyle w:val="PrformatHTML"/>
        <w:spacing w:line="360" w:lineRule="auto"/>
        <w:jc w:val="both"/>
        <w:rPr>
          <w:rFonts w:asciiTheme="majorBidi" w:hAnsiTheme="majorBidi" w:cstheme="majorBidi"/>
          <w:color w:val="222222"/>
          <w:sz w:val="24"/>
          <w:szCs w:val="24"/>
          <w:lang w:val="en-US"/>
        </w:rPr>
      </w:pPr>
    </w:p>
    <w:p w:rsidR="00EC7404" w:rsidRPr="000214D7" w:rsidRDefault="00EC7404" w:rsidP="000214D7">
      <w:pPr>
        <w:pStyle w:val="PrformatHTML"/>
        <w:spacing w:line="360" w:lineRule="auto"/>
        <w:jc w:val="both"/>
        <w:rPr>
          <w:rFonts w:asciiTheme="majorBidi" w:hAnsiTheme="majorBidi" w:cstheme="majorBidi"/>
          <w:color w:val="222222"/>
          <w:sz w:val="24"/>
          <w:szCs w:val="24"/>
          <w:lang w:val="en-US"/>
        </w:rPr>
      </w:pPr>
    </w:p>
    <w:p w:rsidR="00EC7404" w:rsidRPr="000214D7" w:rsidRDefault="00EC7404" w:rsidP="000214D7">
      <w:pPr>
        <w:pStyle w:val="PrformatHTML"/>
        <w:spacing w:line="360" w:lineRule="auto"/>
        <w:jc w:val="both"/>
        <w:rPr>
          <w:rFonts w:asciiTheme="majorBidi" w:hAnsiTheme="majorBidi" w:cstheme="majorBidi"/>
          <w:color w:val="222222"/>
          <w:sz w:val="24"/>
          <w:szCs w:val="24"/>
          <w:lang w:val="en-US"/>
        </w:rPr>
      </w:pPr>
    </w:p>
    <w:p w:rsidR="00EC7404" w:rsidRPr="000214D7" w:rsidRDefault="00EC7404" w:rsidP="000214D7">
      <w:pPr>
        <w:pStyle w:val="PrformatHTML"/>
        <w:spacing w:line="360" w:lineRule="auto"/>
        <w:jc w:val="both"/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8F9FA"/>
          <w:lang w:val="en-US"/>
        </w:rPr>
      </w:pPr>
    </w:p>
    <w:p w:rsidR="00EF4BEE" w:rsidRPr="000214D7" w:rsidRDefault="00EF4BEE" w:rsidP="000214D7">
      <w:pPr>
        <w:pStyle w:val="PrformatHTML"/>
        <w:spacing w:line="360" w:lineRule="auto"/>
        <w:jc w:val="both"/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8F9FA"/>
          <w:lang w:val="en-US"/>
        </w:rPr>
      </w:pPr>
    </w:p>
    <w:p w:rsidR="00EF4BEE" w:rsidRPr="000214D7" w:rsidRDefault="00EF4BEE" w:rsidP="000214D7">
      <w:pPr>
        <w:pStyle w:val="PrformatHTML"/>
        <w:spacing w:line="360" w:lineRule="auto"/>
        <w:jc w:val="both"/>
        <w:rPr>
          <w:rFonts w:asciiTheme="majorBidi" w:hAnsiTheme="majorBidi" w:cstheme="majorBidi"/>
          <w:b/>
          <w:bCs/>
          <w:color w:val="222222"/>
          <w:sz w:val="24"/>
          <w:szCs w:val="24"/>
          <w:lang w:val="en-US"/>
        </w:rPr>
      </w:pPr>
    </w:p>
    <w:p w:rsidR="00A14073" w:rsidRPr="000214D7" w:rsidRDefault="00A14073" w:rsidP="000214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Theme="majorBidi" w:eastAsia="Times New Roman" w:hAnsiTheme="majorBidi" w:cstheme="majorBidi"/>
          <w:color w:val="222222"/>
          <w:sz w:val="24"/>
          <w:szCs w:val="24"/>
          <w:lang w:val="en-US"/>
        </w:rPr>
      </w:pPr>
    </w:p>
    <w:p w:rsidR="00A14073" w:rsidRPr="000214D7" w:rsidRDefault="00A14073" w:rsidP="000214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Theme="majorBidi" w:eastAsia="Times New Roman" w:hAnsiTheme="majorBidi" w:cstheme="majorBidi"/>
          <w:color w:val="222222"/>
          <w:sz w:val="24"/>
          <w:szCs w:val="24"/>
          <w:lang w:val="en-US"/>
        </w:rPr>
      </w:pPr>
    </w:p>
    <w:p w:rsidR="009B7052" w:rsidRPr="000214D7" w:rsidRDefault="009B7052" w:rsidP="000214D7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sectPr w:rsidR="009B7052" w:rsidRPr="000214D7" w:rsidSect="004A29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>
    <w:useFELayout/>
  </w:compat>
  <w:rsids>
    <w:rsidRoot w:val="004632A9"/>
    <w:rsid w:val="000214D7"/>
    <w:rsid w:val="0005281A"/>
    <w:rsid w:val="000A6A84"/>
    <w:rsid w:val="000F234A"/>
    <w:rsid w:val="002308DD"/>
    <w:rsid w:val="002638D6"/>
    <w:rsid w:val="003062A8"/>
    <w:rsid w:val="003A659B"/>
    <w:rsid w:val="003B54EE"/>
    <w:rsid w:val="004632A9"/>
    <w:rsid w:val="00464059"/>
    <w:rsid w:val="004A296F"/>
    <w:rsid w:val="005F6E0C"/>
    <w:rsid w:val="00631A8A"/>
    <w:rsid w:val="00645CC2"/>
    <w:rsid w:val="0066155A"/>
    <w:rsid w:val="006C31C7"/>
    <w:rsid w:val="00761B60"/>
    <w:rsid w:val="007E4B2C"/>
    <w:rsid w:val="00933147"/>
    <w:rsid w:val="009B7052"/>
    <w:rsid w:val="009D759D"/>
    <w:rsid w:val="00A14073"/>
    <w:rsid w:val="00A274BD"/>
    <w:rsid w:val="00A97D01"/>
    <w:rsid w:val="00B35A02"/>
    <w:rsid w:val="00C04796"/>
    <w:rsid w:val="00C81C4A"/>
    <w:rsid w:val="00C87131"/>
    <w:rsid w:val="00CD69CB"/>
    <w:rsid w:val="00CE5770"/>
    <w:rsid w:val="00D364F1"/>
    <w:rsid w:val="00EC7404"/>
    <w:rsid w:val="00EF4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96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4632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4632A9"/>
    <w:rPr>
      <w:rFonts w:ascii="Courier New" w:eastAsia="Times New Roman" w:hAnsi="Courier New" w:cs="Courier New"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2638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6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rsafgouja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402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Center_Soft</dc:creator>
  <cp:keywords/>
  <dc:description/>
  <cp:lastModifiedBy>Center_Soft</cp:lastModifiedBy>
  <cp:revision>16</cp:revision>
  <dcterms:created xsi:type="dcterms:W3CDTF">2020-01-17T15:55:00Z</dcterms:created>
  <dcterms:modified xsi:type="dcterms:W3CDTF">2020-02-18T21:51:00Z</dcterms:modified>
</cp:coreProperties>
</file>