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2A9" w:rsidRPr="00C81C4A" w:rsidRDefault="004632A9" w:rsidP="003B54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15" w:lineRule="atLeast"/>
        <w:jc w:val="both"/>
        <w:rPr>
          <w:rFonts w:ascii="Tahoma" w:eastAsia="Times New Roman" w:hAnsi="Tahoma" w:cs="Tahoma"/>
          <w:color w:val="222222"/>
          <w:sz w:val="28"/>
          <w:szCs w:val="28"/>
          <w:lang w:val="en-US"/>
        </w:rPr>
      </w:pPr>
      <w:r w:rsidRPr="00C81C4A">
        <w:rPr>
          <w:rFonts w:ascii="Tahoma" w:eastAsia="Times New Roman" w:hAnsi="Tahoma" w:cs="Tahoma"/>
          <w:color w:val="222222"/>
          <w:sz w:val="28"/>
          <w:szCs w:val="28"/>
          <w:lang w:val="en-US"/>
        </w:rPr>
        <w:t xml:space="preserve">Temporary vascular access and their impact in patients on chronic </w:t>
      </w:r>
      <w:proofErr w:type="spellStart"/>
      <w:r w:rsidRPr="00C81C4A">
        <w:rPr>
          <w:rFonts w:ascii="Tahoma" w:eastAsia="Times New Roman" w:hAnsi="Tahoma" w:cs="Tahoma"/>
          <w:color w:val="222222"/>
          <w:sz w:val="28"/>
          <w:szCs w:val="28"/>
          <w:lang w:val="en-US"/>
        </w:rPr>
        <w:t>hemodialysis</w:t>
      </w:r>
      <w:proofErr w:type="spellEnd"/>
      <w:r w:rsidRPr="00C81C4A">
        <w:rPr>
          <w:rFonts w:ascii="Tahoma" w:eastAsia="Times New Roman" w:hAnsi="Tahoma" w:cs="Tahoma"/>
          <w:color w:val="222222"/>
          <w:sz w:val="28"/>
          <w:szCs w:val="28"/>
          <w:lang w:val="en-US"/>
        </w:rPr>
        <w:t>: results through our experience</w:t>
      </w:r>
      <w:r w:rsidR="00A14073" w:rsidRPr="00C81C4A">
        <w:rPr>
          <w:rFonts w:ascii="Tahoma" w:eastAsia="Times New Roman" w:hAnsi="Tahoma" w:cs="Tahoma"/>
          <w:color w:val="222222"/>
          <w:sz w:val="28"/>
          <w:szCs w:val="28"/>
          <w:lang w:val="en-US"/>
        </w:rPr>
        <w:t>.</w:t>
      </w:r>
    </w:p>
    <w:p w:rsidR="00A14073" w:rsidRPr="00C81C4A" w:rsidRDefault="00A14073" w:rsidP="003B54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15" w:lineRule="atLeast"/>
        <w:jc w:val="both"/>
        <w:rPr>
          <w:rFonts w:ascii="Tahoma" w:eastAsia="Times New Roman" w:hAnsi="Tahoma" w:cs="Tahoma"/>
          <w:color w:val="222222"/>
          <w:sz w:val="28"/>
          <w:szCs w:val="28"/>
          <w:lang w:val="en-US"/>
        </w:rPr>
      </w:pPr>
    </w:p>
    <w:p w:rsidR="00A14073" w:rsidRPr="00C81C4A" w:rsidRDefault="00A14073" w:rsidP="003B54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15" w:lineRule="atLeast"/>
        <w:jc w:val="both"/>
        <w:rPr>
          <w:rFonts w:ascii="Tahoma" w:eastAsia="Times New Roman" w:hAnsi="Tahoma" w:cs="Tahoma"/>
          <w:color w:val="222222"/>
          <w:sz w:val="28"/>
          <w:szCs w:val="28"/>
          <w:lang w:val="en-US"/>
        </w:rPr>
      </w:pPr>
      <w:r w:rsidRPr="00C81C4A">
        <w:rPr>
          <w:rFonts w:ascii="Tahoma" w:eastAsia="Times New Roman" w:hAnsi="Tahoma" w:cs="Tahoma"/>
          <w:b/>
          <w:bCs/>
          <w:color w:val="222222"/>
          <w:sz w:val="28"/>
          <w:szCs w:val="28"/>
          <w:lang w:val="en-US"/>
        </w:rPr>
        <w:t>Introduction</w:t>
      </w:r>
      <w:r w:rsidRPr="00C81C4A">
        <w:rPr>
          <w:rFonts w:ascii="Tahoma" w:eastAsia="Times New Roman" w:hAnsi="Tahoma" w:cs="Tahoma"/>
          <w:color w:val="222222"/>
          <w:sz w:val="28"/>
          <w:szCs w:val="28"/>
          <w:lang w:val="en-US"/>
        </w:rPr>
        <w:t>:</w:t>
      </w:r>
    </w:p>
    <w:p w:rsidR="00A14073" w:rsidRDefault="00A14073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C81C4A">
        <w:rPr>
          <w:rFonts w:ascii="Tahoma" w:hAnsi="Tahoma" w:cs="Tahoma"/>
          <w:color w:val="222222"/>
          <w:sz w:val="28"/>
          <w:szCs w:val="28"/>
          <w:lang w:val="en-US"/>
        </w:rPr>
        <w:t xml:space="preserve">Despite advances in the treatment of chronic kidney disease, vascular access remains the lifeline and the weak link in </w:t>
      </w:r>
      <w:proofErr w:type="spellStart"/>
      <w:r w:rsidRPr="00C81C4A">
        <w:rPr>
          <w:rFonts w:ascii="Tahoma" w:hAnsi="Tahoma" w:cs="Tahoma"/>
          <w:color w:val="222222"/>
          <w:sz w:val="28"/>
          <w:szCs w:val="28"/>
          <w:lang w:val="en-US"/>
        </w:rPr>
        <w:t>hemodialysis</w:t>
      </w:r>
      <w:proofErr w:type="spellEnd"/>
      <w:r w:rsidRPr="00C81C4A">
        <w:rPr>
          <w:rFonts w:ascii="Tahoma" w:hAnsi="Tahoma" w:cs="Tahoma"/>
          <w:color w:val="222222"/>
          <w:sz w:val="28"/>
          <w:szCs w:val="28"/>
          <w:lang w:val="en-US"/>
        </w:rPr>
        <w:t xml:space="preserve"> replacement therapy.</w:t>
      </w:r>
    </w:p>
    <w:p w:rsidR="003062A8" w:rsidRPr="003062A8" w:rsidRDefault="003062A8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3062A8">
        <w:rPr>
          <w:lang w:val="en-US"/>
        </w:rPr>
        <w:br/>
      </w: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Our objective is to specify the different indications for the placement of central venous catheters (CVC), type of catheters and their insertion sites as well as their complications.</w:t>
      </w:r>
    </w:p>
    <w:p w:rsidR="00A14073" w:rsidRDefault="00761B60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761B60">
        <w:rPr>
          <w:rFonts w:ascii="Tahoma" w:hAnsi="Tahoma" w:cs="Tahoma"/>
          <w:b/>
          <w:bCs/>
          <w:color w:val="222222"/>
          <w:sz w:val="28"/>
          <w:szCs w:val="28"/>
          <w:lang w:val="en-US"/>
        </w:rPr>
        <w:t>Materials and methods</w:t>
      </w:r>
      <w:r>
        <w:rPr>
          <w:rFonts w:ascii="Tahoma" w:hAnsi="Tahoma" w:cs="Tahoma"/>
          <w:color w:val="222222"/>
          <w:sz w:val="28"/>
          <w:szCs w:val="28"/>
          <w:lang w:val="en-US"/>
        </w:rPr>
        <w:t>:</w:t>
      </w:r>
    </w:p>
    <w:p w:rsidR="00761B60" w:rsidRDefault="003A659B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3A659B">
        <w:rPr>
          <w:lang w:val="en-US"/>
        </w:rPr>
        <w:br/>
      </w:r>
      <w:r w:rsidRPr="00EF4BEE">
        <w:rPr>
          <w:rFonts w:ascii="Tahoma" w:hAnsi="Tahoma" w:cs="Tahoma"/>
          <w:color w:val="222222"/>
          <w:sz w:val="28"/>
          <w:szCs w:val="28"/>
          <w:lang w:val="en-US"/>
        </w:rPr>
        <w:t xml:space="preserve">We conducted a cross-sectional study on the year 2019 at the </w:t>
      </w:r>
      <w:proofErr w:type="spellStart"/>
      <w:r w:rsidRPr="00EF4BEE">
        <w:rPr>
          <w:rFonts w:ascii="Tahoma" w:hAnsi="Tahoma" w:cs="Tahoma"/>
          <w:color w:val="222222"/>
          <w:sz w:val="28"/>
          <w:szCs w:val="28"/>
          <w:lang w:val="en-US"/>
        </w:rPr>
        <w:t>he</w:t>
      </w:r>
      <w:r w:rsidR="00C81C4A">
        <w:rPr>
          <w:rFonts w:ascii="Tahoma" w:hAnsi="Tahoma" w:cs="Tahoma"/>
          <w:color w:val="222222"/>
          <w:sz w:val="28"/>
          <w:szCs w:val="28"/>
          <w:lang w:val="en-US"/>
        </w:rPr>
        <w:t>modialysis</w:t>
      </w:r>
      <w:proofErr w:type="spellEnd"/>
      <w:r w:rsidR="00C81C4A">
        <w:rPr>
          <w:rFonts w:ascii="Tahoma" w:hAnsi="Tahoma" w:cs="Tahoma"/>
          <w:color w:val="222222"/>
          <w:sz w:val="28"/>
          <w:szCs w:val="28"/>
          <w:lang w:val="en-US"/>
        </w:rPr>
        <w:t xml:space="preserve"> center (HD) of the </w:t>
      </w:r>
      <w:proofErr w:type="spellStart"/>
      <w:r w:rsidR="00C81C4A">
        <w:rPr>
          <w:rFonts w:ascii="Tahoma" w:hAnsi="Tahoma" w:cs="Tahoma"/>
          <w:color w:val="222222"/>
          <w:sz w:val="28"/>
          <w:szCs w:val="28"/>
          <w:lang w:val="en-US"/>
        </w:rPr>
        <w:t>He</w:t>
      </w:r>
      <w:r w:rsidRPr="00EF4BEE">
        <w:rPr>
          <w:rFonts w:ascii="Tahoma" w:hAnsi="Tahoma" w:cs="Tahoma"/>
          <w:color w:val="222222"/>
          <w:sz w:val="28"/>
          <w:szCs w:val="28"/>
          <w:lang w:val="en-US"/>
        </w:rPr>
        <w:t>di</w:t>
      </w:r>
      <w:proofErr w:type="spellEnd"/>
      <w:r w:rsidRPr="00EF4BEE">
        <w:rPr>
          <w:rFonts w:ascii="Tahoma" w:hAnsi="Tahoma" w:cs="Tahoma"/>
          <w:color w:val="222222"/>
          <w:sz w:val="28"/>
          <w:szCs w:val="28"/>
          <w:lang w:val="en-US"/>
        </w:rPr>
        <w:t xml:space="preserve"> </w:t>
      </w:r>
      <w:proofErr w:type="spellStart"/>
      <w:r w:rsidRPr="00EF4BEE">
        <w:rPr>
          <w:rFonts w:ascii="Tahoma" w:hAnsi="Tahoma" w:cs="Tahoma"/>
          <w:color w:val="222222"/>
          <w:sz w:val="28"/>
          <w:szCs w:val="28"/>
          <w:lang w:val="en-US"/>
        </w:rPr>
        <w:t>Chaker</w:t>
      </w:r>
      <w:proofErr w:type="spellEnd"/>
      <w:r w:rsidRPr="00EF4BEE">
        <w:rPr>
          <w:rFonts w:ascii="Tahoma" w:hAnsi="Tahoma" w:cs="Tahoma"/>
          <w:color w:val="222222"/>
          <w:sz w:val="28"/>
          <w:szCs w:val="28"/>
          <w:lang w:val="en-US"/>
        </w:rPr>
        <w:t xml:space="preserve"> hospital in </w:t>
      </w:r>
      <w:proofErr w:type="spellStart"/>
      <w:r w:rsidRPr="00EF4BEE">
        <w:rPr>
          <w:rFonts w:ascii="Tahoma" w:hAnsi="Tahoma" w:cs="Tahoma"/>
          <w:color w:val="222222"/>
          <w:sz w:val="28"/>
          <w:szCs w:val="28"/>
          <w:lang w:val="en-US"/>
        </w:rPr>
        <w:t>Sfax</w:t>
      </w:r>
      <w:proofErr w:type="spellEnd"/>
      <w:r w:rsidRPr="00EF4BEE">
        <w:rPr>
          <w:rFonts w:ascii="Tahoma" w:hAnsi="Tahoma" w:cs="Tahoma"/>
          <w:color w:val="222222"/>
          <w:sz w:val="28"/>
          <w:szCs w:val="28"/>
          <w:lang w:val="en-US"/>
        </w:rPr>
        <w:t>. 82 chronic dialysis patients via a central venous catheter</w:t>
      </w:r>
      <w:r w:rsidR="002308DD">
        <w:rPr>
          <w:rFonts w:ascii="Tahoma" w:hAnsi="Tahoma" w:cs="Tahoma"/>
          <w:color w:val="222222"/>
          <w:sz w:val="28"/>
          <w:szCs w:val="28"/>
          <w:lang w:val="en-US"/>
        </w:rPr>
        <w:t xml:space="preserve"> (CVC)</w:t>
      </w:r>
      <w:r w:rsidRPr="00EF4BEE">
        <w:rPr>
          <w:rFonts w:ascii="Tahoma" w:hAnsi="Tahoma" w:cs="Tahoma"/>
          <w:color w:val="222222"/>
          <w:sz w:val="28"/>
          <w:szCs w:val="28"/>
          <w:lang w:val="en-US"/>
        </w:rPr>
        <w:t xml:space="preserve"> were collected during this year.</w:t>
      </w:r>
    </w:p>
    <w:p w:rsidR="00EF4BEE" w:rsidRDefault="00EF4BEE" w:rsidP="003B54EE">
      <w:pPr>
        <w:pStyle w:val="PrformatHTML"/>
        <w:spacing w:line="415" w:lineRule="atLeast"/>
        <w:jc w:val="both"/>
        <w:rPr>
          <w:rFonts w:ascii="Tahoma" w:hAnsi="Tahoma" w:cs="Tahoma"/>
          <w:b/>
          <w:bCs/>
          <w:color w:val="222222"/>
          <w:sz w:val="28"/>
          <w:szCs w:val="28"/>
          <w:shd w:val="clear" w:color="auto" w:fill="F8F9FA"/>
          <w:lang w:val="en-US"/>
        </w:rPr>
      </w:pPr>
      <w:r w:rsidRPr="00EF4BEE">
        <w:rPr>
          <w:rFonts w:ascii="Tahoma" w:hAnsi="Tahoma" w:cs="Tahoma"/>
          <w:b/>
          <w:bCs/>
          <w:color w:val="222222"/>
          <w:sz w:val="28"/>
          <w:szCs w:val="28"/>
          <w:shd w:val="clear" w:color="auto" w:fill="F8F9FA"/>
          <w:lang w:val="en-US"/>
        </w:rPr>
        <w:t>Results</w:t>
      </w:r>
      <w:r>
        <w:rPr>
          <w:rFonts w:ascii="Tahoma" w:hAnsi="Tahoma" w:cs="Tahoma"/>
          <w:b/>
          <w:bCs/>
          <w:color w:val="222222"/>
          <w:sz w:val="28"/>
          <w:szCs w:val="28"/>
          <w:shd w:val="clear" w:color="auto" w:fill="F8F9FA"/>
          <w:lang w:val="en-US"/>
        </w:rPr>
        <w:t>:</w:t>
      </w:r>
    </w:p>
    <w:p w:rsidR="00EF4BEE" w:rsidRPr="00631A8A" w:rsidRDefault="00EF4BEE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EF4BEE">
        <w:rPr>
          <w:lang w:val="en-US"/>
        </w:rPr>
        <w:br/>
      </w:r>
      <w:r w:rsidRPr="00631A8A">
        <w:rPr>
          <w:rFonts w:ascii="Tahoma" w:hAnsi="Tahoma" w:cs="Tahoma"/>
          <w:color w:val="222222"/>
          <w:sz w:val="28"/>
          <w:szCs w:val="28"/>
          <w:lang w:val="en-US"/>
        </w:rPr>
        <w:t>Emergency patients regardless of the indic</w:t>
      </w:r>
      <w:r w:rsidR="0005281A">
        <w:rPr>
          <w:rFonts w:ascii="Tahoma" w:hAnsi="Tahoma" w:cs="Tahoma"/>
          <w:color w:val="222222"/>
          <w:sz w:val="28"/>
          <w:szCs w:val="28"/>
          <w:lang w:val="en-US"/>
        </w:rPr>
        <w:t>ation were not included. CVC were only made</w:t>
      </w:r>
      <w:r w:rsidRPr="00631A8A">
        <w:rPr>
          <w:rFonts w:ascii="Tahoma" w:hAnsi="Tahoma" w:cs="Tahoma"/>
          <w:color w:val="222222"/>
          <w:sz w:val="28"/>
          <w:szCs w:val="28"/>
          <w:lang w:val="en-US"/>
        </w:rPr>
        <w:t xml:space="preserve"> in 33 patients (40%). The average age for this</w:t>
      </w:r>
      <w:r w:rsidR="000A6A84">
        <w:rPr>
          <w:rFonts w:ascii="Tahoma" w:hAnsi="Tahoma" w:cs="Tahoma"/>
          <w:color w:val="222222"/>
          <w:sz w:val="28"/>
          <w:szCs w:val="28"/>
          <w:lang w:val="en-US"/>
        </w:rPr>
        <w:t xml:space="preserve"> group</w:t>
      </w:r>
      <w:r w:rsidRPr="00631A8A">
        <w:rPr>
          <w:rFonts w:ascii="Tahoma" w:hAnsi="Tahoma" w:cs="Tahoma"/>
          <w:color w:val="222222"/>
          <w:sz w:val="28"/>
          <w:szCs w:val="28"/>
          <w:lang w:val="en-US"/>
        </w:rPr>
        <w:t xml:space="preserve"> was 50.4 +/- 17.3 years. The sex ratio was 1.16. The average seniority in HD was 23 months (2-120 months)</w:t>
      </w:r>
      <w:r w:rsidR="00EC7404" w:rsidRPr="00631A8A">
        <w:rPr>
          <w:rFonts w:ascii="Tahoma" w:hAnsi="Tahoma" w:cs="Tahoma"/>
          <w:color w:val="222222"/>
          <w:sz w:val="28"/>
          <w:szCs w:val="28"/>
          <w:lang w:val="en-US"/>
        </w:rPr>
        <w:t>.</w:t>
      </w:r>
    </w:p>
    <w:p w:rsidR="00464059" w:rsidRPr="003062A8" w:rsidRDefault="00EC7404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33 patients had acute non-tunneled catheters: 17 catheters (51.5%)</w:t>
      </w:r>
      <w:r w:rsidR="00464059"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</w:t>
      </w:r>
      <w:r w:rsidR="00464059">
        <w:rPr>
          <w:rFonts w:ascii="Tahoma" w:hAnsi="Tahoma" w:cs="Tahoma"/>
          <w:color w:val="222222"/>
          <w:sz w:val="28"/>
          <w:szCs w:val="28"/>
          <w:lang w:val="en-US"/>
        </w:rPr>
        <w:t>w</w:t>
      </w:r>
      <w:r w:rsidR="00464059" w:rsidRPr="003062A8">
        <w:rPr>
          <w:rFonts w:ascii="Tahoma" w:hAnsi="Tahoma" w:cs="Tahoma"/>
          <w:color w:val="222222"/>
          <w:sz w:val="28"/>
          <w:szCs w:val="28"/>
          <w:lang w:val="en-US"/>
        </w:rPr>
        <w:t>ere undergone</w:t>
      </w: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at the femoral level, 16 catheters (48.5%) at the internal jugular level. The indications were as follows: 2 cases (6%) of vital emergency, 23 cases (69.7%) awaiting the preparation of an </w:t>
      </w:r>
      <w:proofErr w:type="spellStart"/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arteriovenous</w:t>
      </w:r>
      <w:proofErr w:type="spellEnd"/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fistula (AVF) or its maturation</w:t>
      </w:r>
      <w:r w:rsidR="00464059" w:rsidRPr="003062A8">
        <w:rPr>
          <w:rFonts w:ascii="Tahoma" w:hAnsi="Tahoma" w:cs="Tahoma"/>
          <w:color w:val="222222"/>
          <w:sz w:val="28"/>
          <w:szCs w:val="28"/>
          <w:lang w:val="en-US"/>
        </w:rPr>
        <w:t>,</w:t>
      </w: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10 cases (30.3%) for dysfunction of their vascular access and for 2 patients (6%) during a switch of peritoneal dialysis in HD.</w:t>
      </w:r>
    </w:p>
    <w:p w:rsidR="00EC7404" w:rsidRPr="003062A8" w:rsidRDefault="00464059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T</w:t>
      </w:r>
      <w:r>
        <w:rPr>
          <w:rFonts w:ascii="Tahoma" w:hAnsi="Tahoma" w:cs="Tahoma"/>
          <w:color w:val="222222"/>
          <w:sz w:val="28"/>
          <w:szCs w:val="28"/>
          <w:lang w:val="en-US"/>
        </w:rPr>
        <w:t>wo</w:t>
      </w:r>
      <w:r w:rsidR="00EC7404"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patients ha</w:t>
      </w: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d a chronic or tunneled catheter</w:t>
      </w:r>
      <w:r w:rsidR="00EC7404" w:rsidRPr="003062A8">
        <w:rPr>
          <w:rFonts w:ascii="Tahoma" w:hAnsi="Tahoma" w:cs="Tahoma"/>
          <w:color w:val="222222"/>
          <w:sz w:val="28"/>
          <w:szCs w:val="28"/>
          <w:lang w:val="en-US"/>
        </w:rPr>
        <w:t>.</w:t>
      </w: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</w:t>
      </w:r>
      <w:r w:rsidR="00EC7404"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The indications were: one case of an elderly patient with failed creation of an AVF and two </w:t>
      </w:r>
      <w:r w:rsidR="00EC7404" w:rsidRPr="003062A8">
        <w:rPr>
          <w:rFonts w:ascii="Tahoma" w:hAnsi="Tahoma" w:cs="Tahoma"/>
          <w:color w:val="222222"/>
          <w:sz w:val="28"/>
          <w:szCs w:val="28"/>
          <w:lang w:val="en-US"/>
        </w:rPr>
        <w:lastRenderedPageBreak/>
        <w:t>cases of total exhaustion of the anatomical sites. The insertion</w:t>
      </w:r>
      <w:r w:rsidR="0066155A"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site was the internal jugular venous</w:t>
      </w:r>
      <w:r w:rsidR="00EC7404"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for these 2 patients</w:t>
      </w:r>
      <w:r w:rsidR="0066155A" w:rsidRPr="003062A8">
        <w:rPr>
          <w:rFonts w:ascii="Tahoma" w:hAnsi="Tahoma" w:cs="Tahoma"/>
          <w:color w:val="222222"/>
          <w:sz w:val="28"/>
          <w:szCs w:val="28"/>
          <w:lang w:val="en-US"/>
        </w:rPr>
        <w:t>.</w:t>
      </w:r>
    </w:p>
    <w:p w:rsidR="0066155A" w:rsidRDefault="0066155A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66155A">
        <w:rPr>
          <w:lang w:val="en-US"/>
        </w:rPr>
        <w:br/>
      </w:r>
      <w:r w:rsidRPr="00933147">
        <w:rPr>
          <w:rFonts w:ascii="Tahoma" w:hAnsi="Tahoma" w:cs="Tahoma"/>
          <w:color w:val="222222"/>
          <w:sz w:val="28"/>
          <w:szCs w:val="28"/>
          <w:lang w:val="en-US"/>
        </w:rPr>
        <w:t>The average CVC usage time was 1.4 months (21 days - 3 months)</w:t>
      </w:r>
      <w:r w:rsidR="00933147">
        <w:rPr>
          <w:rFonts w:ascii="Tahoma" w:hAnsi="Tahoma" w:cs="Tahoma"/>
          <w:color w:val="222222"/>
          <w:sz w:val="28"/>
          <w:szCs w:val="28"/>
          <w:lang w:val="en-US"/>
        </w:rPr>
        <w:t>.</w:t>
      </w:r>
    </w:p>
    <w:p w:rsidR="00933147" w:rsidRPr="003062A8" w:rsidRDefault="00933147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T</w:t>
      </w:r>
      <w:r w:rsidR="00464059"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he total of CVC complications </w:t>
      </w:r>
      <w:r w:rsidR="00464059">
        <w:rPr>
          <w:rFonts w:ascii="Tahoma" w:hAnsi="Tahoma" w:cs="Tahoma"/>
          <w:color w:val="222222"/>
          <w:sz w:val="28"/>
          <w:szCs w:val="28"/>
          <w:lang w:val="en-US"/>
        </w:rPr>
        <w:t>was</w:t>
      </w: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around 25.3% dominated by catheter infections</w:t>
      </w:r>
      <w:r w:rsidR="00464059"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</w:t>
      </w:r>
      <w:r w:rsidR="00464059">
        <w:rPr>
          <w:rFonts w:ascii="Tahoma" w:hAnsi="Tahoma" w:cs="Tahoma"/>
          <w:color w:val="222222"/>
          <w:sz w:val="28"/>
          <w:szCs w:val="28"/>
          <w:lang w:val="en-US"/>
        </w:rPr>
        <w:t>which were</w:t>
      </w:r>
      <w:r w:rsidR="00464059"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</w:t>
      </w: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identified in 18.9% of cases. Mechanical complications represent</w:t>
      </w:r>
      <w:r w:rsidR="00A274BD" w:rsidRPr="003062A8">
        <w:rPr>
          <w:rFonts w:ascii="Tahoma" w:hAnsi="Tahoma" w:cs="Tahoma"/>
          <w:color w:val="222222"/>
          <w:sz w:val="28"/>
          <w:szCs w:val="28"/>
          <w:lang w:val="en-US"/>
        </w:rPr>
        <w:t>ed 2.7% (</w:t>
      </w: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1 case of co</w:t>
      </w:r>
      <w:r w:rsidR="00631A8A" w:rsidRPr="003062A8">
        <w:rPr>
          <w:rFonts w:ascii="Tahoma" w:hAnsi="Tahoma" w:cs="Tahoma"/>
          <w:color w:val="222222"/>
          <w:sz w:val="28"/>
          <w:szCs w:val="28"/>
          <w:lang w:val="en-US"/>
        </w:rPr>
        <w:t>mpression hematoma on jugular catheter</w:t>
      </w:r>
      <w:r w:rsidR="00A274BD" w:rsidRPr="003062A8">
        <w:rPr>
          <w:rFonts w:ascii="Tahoma" w:hAnsi="Tahoma" w:cs="Tahoma"/>
          <w:color w:val="222222"/>
          <w:sz w:val="28"/>
          <w:szCs w:val="28"/>
          <w:lang w:val="en-US"/>
        </w:rPr>
        <w:t>)</w:t>
      </w:r>
      <w:r w:rsidR="00631A8A" w:rsidRPr="003062A8">
        <w:rPr>
          <w:rFonts w:ascii="Tahoma" w:hAnsi="Tahoma" w:cs="Tahoma"/>
          <w:color w:val="222222"/>
          <w:sz w:val="28"/>
          <w:szCs w:val="28"/>
          <w:lang w:val="en-US"/>
        </w:rPr>
        <w:t>.</w:t>
      </w:r>
    </w:p>
    <w:p w:rsidR="009D759D" w:rsidRPr="003062A8" w:rsidRDefault="009D759D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proofErr w:type="spellStart"/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Thromboembolic</w:t>
      </w:r>
      <w:proofErr w:type="spellEnd"/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complications represent</w:t>
      </w:r>
      <w:r w:rsidR="00A274BD" w:rsidRPr="003062A8">
        <w:rPr>
          <w:rFonts w:ascii="Tahoma" w:hAnsi="Tahoma" w:cs="Tahoma"/>
          <w:color w:val="222222"/>
          <w:sz w:val="28"/>
          <w:szCs w:val="28"/>
          <w:lang w:val="en-US"/>
        </w:rPr>
        <w:t>ed</w:t>
      </w: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2.7% of cases (the occurrence of </w:t>
      </w:r>
      <w:proofErr w:type="spellStart"/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ilio</w:t>
      </w:r>
      <w:proofErr w:type="spellEnd"/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-femoral </w:t>
      </w:r>
      <w:proofErr w:type="spellStart"/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thrombophlebitis</w:t>
      </w:r>
      <w:proofErr w:type="spellEnd"/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 xml:space="preserve"> favored by postoperative bed rest of a </w:t>
      </w:r>
      <w:proofErr w:type="spellStart"/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parathyroidectomy</w:t>
      </w:r>
      <w:proofErr w:type="spellEnd"/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.</w:t>
      </w:r>
    </w:p>
    <w:p w:rsidR="009D759D" w:rsidRPr="003062A8" w:rsidRDefault="009D759D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3062A8">
        <w:rPr>
          <w:rFonts w:ascii="Tahoma" w:hAnsi="Tahoma" w:cs="Tahoma"/>
          <w:b/>
          <w:bCs/>
          <w:color w:val="222222"/>
          <w:sz w:val="28"/>
          <w:szCs w:val="28"/>
          <w:lang w:val="en-US"/>
        </w:rPr>
        <w:t>Conclusion</w:t>
      </w:r>
      <w:r w:rsidRPr="003062A8">
        <w:rPr>
          <w:rFonts w:ascii="Tahoma" w:hAnsi="Tahoma" w:cs="Tahoma"/>
          <w:color w:val="222222"/>
          <w:sz w:val="28"/>
          <w:szCs w:val="28"/>
          <w:lang w:val="en-US"/>
        </w:rPr>
        <w:t>:</w:t>
      </w:r>
    </w:p>
    <w:p w:rsidR="009D759D" w:rsidRPr="00CE5770" w:rsidRDefault="00CE5770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  <w:r w:rsidRPr="00CE5770">
        <w:rPr>
          <w:lang w:val="en-US"/>
        </w:rPr>
        <w:br/>
      </w:r>
      <w:r w:rsidRPr="00CE5770">
        <w:rPr>
          <w:rFonts w:ascii="Tahoma" w:hAnsi="Tahoma" w:cs="Tahoma"/>
          <w:color w:val="222222"/>
          <w:sz w:val="28"/>
          <w:szCs w:val="28"/>
          <w:lang w:val="en-US"/>
        </w:rPr>
        <w:t>The use of temporary vascular access remains common practice due to the prolonged waiting period for the preparation or repair of an AV</w:t>
      </w:r>
      <w:r w:rsidR="003B54EE">
        <w:rPr>
          <w:rFonts w:ascii="Tahoma" w:hAnsi="Tahoma" w:cs="Tahoma"/>
          <w:color w:val="222222"/>
          <w:sz w:val="28"/>
          <w:szCs w:val="28"/>
          <w:lang w:val="en-US"/>
        </w:rPr>
        <w:t>F, which</w:t>
      </w:r>
      <w:r w:rsidRPr="00CE5770">
        <w:rPr>
          <w:rFonts w:ascii="Tahoma" w:hAnsi="Tahoma" w:cs="Tahoma"/>
          <w:color w:val="222222"/>
          <w:sz w:val="28"/>
          <w:szCs w:val="28"/>
          <w:lang w:val="en-US"/>
        </w:rPr>
        <w:t xml:space="preserve"> increased </w:t>
      </w:r>
      <w:r w:rsidR="00A274BD">
        <w:rPr>
          <w:rFonts w:ascii="Tahoma" w:hAnsi="Tahoma" w:cs="Tahoma"/>
          <w:color w:val="222222"/>
          <w:sz w:val="28"/>
          <w:szCs w:val="28"/>
          <w:lang w:val="en-US"/>
        </w:rPr>
        <w:t xml:space="preserve">a </w:t>
      </w:r>
      <w:r w:rsidR="006C31C7">
        <w:rPr>
          <w:rFonts w:ascii="Tahoma" w:hAnsi="Tahoma" w:cs="Tahoma"/>
          <w:color w:val="222222"/>
          <w:sz w:val="28"/>
          <w:szCs w:val="28"/>
          <w:lang w:val="en-US"/>
        </w:rPr>
        <w:t xml:space="preserve">particular </w:t>
      </w:r>
      <w:r w:rsidRPr="00CE5770">
        <w:rPr>
          <w:rFonts w:ascii="Tahoma" w:hAnsi="Tahoma" w:cs="Tahoma"/>
          <w:color w:val="222222"/>
          <w:sz w:val="28"/>
          <w:szCs w:val="28"/>
          <w:lang w:val="en-US"/>
        </w:rPr>
        <w:t>vigil</w:t>
      </w:r>
      <w:r w:rsidR="006C31C7">
        <w:rPr>
          <w:rFonts w:ascii="Tahoma" w:hAnsi="Tahoma" w:cs="Tahoma"/>
          <w:color w:val="222222"/>
          <w:sz w:val="28"/>
          <w:szCs w:val="28"/>
          <w:lang w:val="en-US"/>
        </w:rPr>
        <w:t xml:space="preserve">ance </w:t>
      </w:r>
      <w:r w:rsidR="00C87131">
        <w:rPr>
          <w:rFonts w:ascii="Tahoma" w:hAnsi="Tahoma" w:cs="Tahoma"/>
          <w:color w:val="222222"/>
          <w:sz w:val="28"/>
          <w:szCs w:val="28"/>
          <w:lang w:val="en-US"/>
        </w:rPr>
        <w:t xml:space="preserve">in order </w:t>
      </w:r>
      <w:r w:rsidRPr="00CE5770">
        <w:rPr>
          <w:rFonts w:ascii="Tahoma" w:hAnsi="Tahoma" w:cs="Tahoma"/>
          <w:color w:val="222222"/>
          <w:sz w:val="28"/>
          <w:szCs w:val="28"/>
          <w:lang w:val="en-US"/>
        </w:rPr>
        <w:t xml:space="preserve">to minimize the risk of infection while vigorously respecting the </w:t>
      </w:r>
      <w:r w:rsidR="00B35A02" w:rsidRPr="00CE5770">
        <w:rPr>
          <w:rFonts w:ascii="Tahoma" w:hAnsi="Tahoma" w:cs="Tahoma"/>
          <w:color w:val="222222"/>
          <w:sz w:val="28"/>
          <w:szCs w:val="28"/>
          <w:lang w:val="en-US"/>
        </w:rPr>
        <w:t>asepsis</w:t>
      </w:r>
      <w:r w:rsidR="00A97D01">
        <w:rPr>
          <w:rFonts w:ascii="Tahoma" w:hAnsi="Tahoma" w:cs="Tahoma"/>
          <w:color w:val="222222"/>
          <w:sz w:val="28"/>
          <w:szCs w:val="28"/>
          <w:lang w:val="en-US"/>
        </w:rPr>
        <w:t>’</w:t>
      </w:r>
      <w:r w:rsidR="00B35A02" w:rsidRPr="00CE5770">
        <w:rPr>
          <w:rFonts w:ascii="Tahoma" w:hAnsi="Tahoma" w:cs="Tahoma"/>
          <w:color w:val="222222"/>
          <w:sz w:val="28"/>
          <w:szCs w:val="28"/>
          <w:lang w:val="en-US"/>
        </w:rPr>
        <w:t xml:space="preserve"> </w:t>
      </w:r>
      <w:r w:rsidR="00A97D01">
        <w:rPr>
          <w:rFonts w:ascii="Tahoma" w:hAnsi="Tahoma" w:cs="Tahoma"/>
          <w:color w:val="222222"/>
          <w:sz w:val="28"/>
          <w:szCs w:val="28"/>
          <w:lang w:val="en-US"/>
        </w:rPr>
        <w:t xml:space="preserve">rules </w:t>
      </w:r>
      <w:r w:rsidRPr="00CE5770">
        <w:rPr>
          <w:rFonts w:ascii="Tahoma" w:hAnsi="Tahoma" w:cs="Tahoma"/>
          <w:color w:val="222222"/>
          <w:sz w:val="28"/>
          <w:szCs w:val="28"/>
          <w:lang w:val="en-US"/>
        </w:rPr>
        <w:t>by manipulating them</w:t>
      </w:r>
      <w:r w:rsidR="00A274BD">
        <w:rPr>
          <w:rFonts w:ascii="Tahoma" w:hAnsi="Tahoma" w:cs="Tahoma"/>
          <w:color w:val="222222"/>
          <w:sz w:val="28"/>
          <w:szCs w:val="28"/>
          <w:lang w:val="en-US"/>
        </w:rPr>
        <w:t>.</w:t>
      </w:r>
    </w:p>
    <w:p w:rsidR="009D759D" w:rsidRPr="00631A8A" w:rsidRDefault="009D759D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</w:p>
    <w:p w:rsidR="00933147" w:rsidRPr="00631A8A" w:rsidRDefault="00933147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</w:p>
    <w:p w:rsidR="00EC7404" w:rsidRPr="00631A8A" w:rsidRDefault="00EC7404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</w:p>
    <w:p w:rsidR="00EC7404" w:rsidRPr="00EC7404" w:rsidRDefault="00EC7404" w:rsidP="003B54EE">
      <w:pPr>
        <w:pStyle w:val="PrformatHTML"/>
        <w:spacing w:line="415" w:lineRule="atLeast"/>
        <w:jc w:val="both"/>
        <w:rPr>
          <w:rFonts w:ascii="Tahoma" w:hAnsi="Tahoma" w:cs="Tahoma"/>
          <w:color w:val="222222"/>
          <w:sz w:val="28"/>
          <w:szCs w:val="28"/>
          <w:lang w:val="en-US"/>
        </w:rPr>
      </w:pPr>
    </w:p>
    <w:p w:rsidR="00EC7404" w:rsidRPr="00EF4BEE" w:rsidRDefault="00EC7404" w:rsidP="003B54EE">
      <w:pPr>
        <w:pStyle w:val="PrformatHTML"/>
        <w:spacing w:line="415" w:lineRule="atLeast"/>
        <w:jc w:val="both"/>
        <w:rPr>
          <w:rFonts w:ascii="Tahoma" w:hAnsi="Tahoma" w:cs="Tahoma"/>
          <w:b/>
          <w:bCs/>
          <w:color w:val="222222"/>
          <w:sz w:val="28"/>
          <w:szCs w:val="28"/>
          <w:shd w:val="clear" w:color="auto" w:fill="F8F9FA"/>
          <w:lang w:val="en-US"/>
        </w:rPr>
      </w:pPr>
    </w:p>
    <w:p w:rsidR="00EF4BEE" w:rsidRPr="00EF4BEE" w:rsidRDefault="00EF4BEE" w:rsidP="003B54EE">
      <w:pPr>
        <w:pStyle w:val="PrformatHTML"/>
        <w:spacing w:line="415" w:lineRule="atLeast"/>
        <w:jc w:val="both"/>
        <w:rPr>
          <w:rFonts w:ascii="Tahoma" w:hAnsi="Tahoma" w:cs="Tahoma"/>
          <w:b/>
          <w:bCs/>
          <w:color w:val="222222"/>
          <w:sz w:val="28"/>
          <w:szCs w:val="28"/>
          <w:shd w:val="clear" w:color="auto" w:fill="F8F9FA"/>
          <w:lang w:val="en-US"/>
        </w:rPr>
      </w:pPr>
    </w:p>
    <w:p w:rsidR="00EF4BEE" w:rsidRPr="003A659B" w:rsidRDefault="00EF4BEE" w:rsidP="003B54EE">
      <w:pPr>
        <w:pStyle w:val="PrformatHTML"/>
        <w:spacing w:line="415" w:lineRule="atLeast"/>
        <w:jc w:val="both"/>
        <w:rPr>
          <w:rFonts w:ascii="Tahoma" w:hAnsi="Tahoma" w:cs="Tahoma"/>
          <w:b/>
          <w:bCs/>
          <w:color w:val="222222"/>
          <w:sz w:val="28"/>
          <w:szCs w:val="28"/>
          <w:lang w:val="en-US"/>
        </w:rPr>
      </w:pPr>
    </w:p>
    <w:p w:rsidR="00A14073" w:rsidRPr="003A659B" w:rsidRDefault="00A14073" w:rsidP="003B54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15" w:lineRule="atLeast"/>
        <w:jc w:val="both"/>
        <w:rPr>
          <w:rFonts w:ascii="Tahoma" w:eastAsia="Times New Roman" w:hAnsi="Tahoma" w:cs="Tahoma"/>
          <w:color w:val="222222"/>
          <w:sz w:val="28"/>
          <w:szCs w:val="28"/>
          <w:lang w:val="en-US"/>
        </w:rPr>
      </w:pPr>
    </w:p>
    <w:p w:rsidR="00A14073" w:rsidRPr="004632A9" w:rsidRDefault="00A14073" w:rsidP="003B54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15" w:lineRule="atLeast"/>
        <w:jc w:val="both"/>
        <w:rPr>
          <w:rFonts w:ascii="Tahoma" w:eastAsia="Times New Roman" w:hAnsi="Tahoma" w:cs="Tahoma"/>
          <w:color w:val="222222"/>
          <w:sz w:val="28"/>
          <w:szCs w:val="28"/>
          <w:lang w:val="en-US"/>
        </w:rPr>
      </w:pPr>
    </w:p>
    <w:p w:rsidR="009B7052" w:rsidRPr="004632A9" w:rsidRDefault="009B7052" w:rsidP="003B54EE">
      <w:pPr>
        <w:jc w:val="both"/>
        <w:rPr>
          <w:lang w:val="en-US"/>
        </w:rPr>
      </w:pPr>
    </w:p>
    <w:sectPr w:rsidR="009B7052" w:rsidRPr="004632A9" w:rsidSect="004A2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4632A9"/>
    <w:rsid w:val="0005281A"/>
    <w:rsid w:val="000A6A84"/>
    <w:rsid w:val="002308DD"/>
    <w:rsid w:val="003062A8"/>
    <w:rsid w:val="003A659B"/>
    <w:rsid w:val="003B54EE"/>
    <w:rsid w:val="004632A9"/>
    <w:rsid w:val="00464059"/>
    <w:rsid w:val="004A296F"/>
    <w:rsid w:val="00631A8A"/>
    <w:rsid w:val="0066155A"/>
    <w:rsid w:val="006C31C7"/>
    <w:rsid w:val="00761B60"/>
    <w:rsid w:val="00933147"/>
    <w:rsid w:val="009B7052"/>
    <w:rsid w:val="009D759D"/>
    <w:rsid w:val="00A14073"/>
    <w:rsid w:val="00A274BD"/>
    <w:rsid w:val="00A97D01"/>
    <w:rsid w:val="00B35A02"/>
    <w:rsid w:val="00C04796"/>
    <w:rsid w:val="00C81C4A"/>
    <w:rsid w:val="00C87131"/>
    <w:rsid w:val="00CE5770"/>
    <w:rsid w:val="00EC7404"/>
    <w:rsid w:val="00EF4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96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4632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632A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6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374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Center_Soft</dc:creator>
  <cp:keywords/>
  <dc:description/>
  <cp:lastModifiedBy>Center_Soft</cp:lastModifiedBy>
  <cp:revision>13</cp:revision>
  <dcterms:created xsi:type="dcterms:W3CDTF">2020-01-17T15:55:00Z</dcterms:created>
  <dcterms:modified xsi:type="dcterms:W3CDTF">2020-01-17T19:19:00Z</dcterms:modified>
</cp:coreProperties>
</file>