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6F6" w:rsidRDefault="00AF6761" w:rsidP="00E266F6">
      <w:pPr>
        <w:rPr>
          <w:rFonts w:asciiTheme="minorBidi" w:hAnsiTheme="minorBidi" w:cstheme="minorBidi"/>
          <w:bCs/>
          <w:sz w:val="24"/>
          <w:szCs w:val="24"/>
          <w:lang w:val="en-US"/>
        </w:rPr>
      </w:pPr>
      <w:r w:rsidRPr="00A01CF1">
        <w:rPr>
          <w:rFonts w:ascii="Tahoma" w:hAnsi="Tahoma" w:cs="Tahoma"/>
          <w:b/>
          <w:sz w:val="24"/>
          <w:szCs w:val="24"/>
          <w:lang w:val="en-US"/>
        </w:rPr>
        <w:t xml:space="preserve">Background and Aims: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The occurrence of acute kidney injury (AKI) in patients with</w:t>
      </w:r>
      <w:r w:rsidR="00391671">
        <w:rPr>
          <w:rFonts w:ascii="Tahoma" w:hAnsi="Tahoma" w:cs="Tahoma"/>
          <w:bCs/>
          <w:sz w:val="24"/>
          <w:szCs w:val="24"/>
          <w:lang w:val="en-US"/>
        </w:rPr>
        <w:t xml:space="preserve">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multiple Trauma is a serious complication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which can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be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fatal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The objective of our study is </w:t>
      </w:r>
      <w:proofErr w:type="gramStart"/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to</w:t>
      </w:r>
      <w:proofErr w:type="gramEnd"/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>precise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the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epidemiological, clinical</w:t>
      </w:r>
      <w:r w:rsidR="00704C6B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, etiological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aspects and the predictive factors for the occurrence of post-traumatic AKI</w:t>
      </w:r>
      <w:r w:rsidR="00391671" w:rsidRPr="00391671">
        <w:rPr>
          <w:rFonts w:ascii="Tahoma" w:hAnsi="Tahoma" w:cs="Tahoma"/>
          <w:bCs/>
          <w:sz w:val="24"/>
          <w:szCs w:val="24"/>
          <w:lang w:val="en-US"/>
        </w:rPr>
        <w:t>.</w:t>
      </w:r>
    </w:p>
    <w:p w:rsidR="00E16322" w:rsidRPr="00704C6B" w:rsidRDefault="00AF6761" w:rsidP="00E266F6">
      <w:pPr>
        <w:rPr>
          <w:rFonts w:asciiTheme="minorBidi" w:hAnsiTheme="minorBidi" w:cstheme="minorBidi"/>
          <w:bCs/>
          <w:sz w:val="24"/>
          <w:szCs w:val="24"/>
          <w:lang w:val="en-US"/>
        </w:rPr>
      </w:pPr>
      <w:r w:rsidRPr="00A01CF1">
        <w:rPr>
          <w:rFonts w:ascii="Tahoma" w:hAnsi="Tahoma" w:cs="Tahoma"/>
          <w:b/>
          <w:sz w:val="24"/>
          <w:szCs w:val="24"/>
          <w:lang w:val="en-US"/>
        </w:rPr>
        <w:t>Method</w:t>
      </w:r>
      <w:r w:rsidRPr="00391671">
        <w:rPr>
          <w:rFonts w:ascii="Tahoma" w:hAnsi="Tahoma" w:cs="Tahoma"/>
          <w:bCs/>
          <w:sz w:val="24"/>
          <w:szCs w:val="24"/>
          <w:lang w:val="en-US"/>
        </w:rPr>
        <w:t xml:space="preserve">: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We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conducted a cohort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study during 3months i</w:t>
      </w:r>
      <w:r w:rsidR="00704C6B" w:rsidRPr="00704C6B">
        <w:rPr>
          <w:rFonts w:asciiTheme="minorBidi" w:hAnsiTheme="minorBidi" w:cstheme="minorBidi"/>
          <w:bCs/>
          <w:sz w:val="24"/>
          <w:szCs w:val="24"/>
          <w:lang w:val="en-US"/>
        </w:rPr>
        <w:t>ncluding multiple-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traumatic patients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hospitalized in inte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>nsive care who have developed AK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I.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AKI was defined according to KDIGO criteria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>s</w:t>
      </w:r>
      <w:r w:rsidR="00391671" w:rsidRPr="00704C6B">
        <w:rPr>
          <w:rFonts w:asciiTheme="minorBidi" w:hAnsiTheme="minorBidi" w:cstheme="minorBidi"/>
          <w:bCs/>
          <w:sz w:val="24"/>
          <w:szCs w:val="24"/>
          <w:lang w:val="en-US"/>
        </w:rPr>
        <w:t>.</w:t>
      </w:r>
    </w:p>
    <w:p w:rsidR="008B5947" w:rsidRPr="00704C6B" w:rsidRDefault="00AF6761" w:rsidP="008B5947">
      <w:pPr>
        <w:rPr>
          <w:rFonts w:asciiTheme="minorBidi" w:hAnsiTheme="minorBidi" w:cstheme="minorBidi"/>
          <w:bCs/>
          <w:sz w:val="24"/>
          <w:szCs w:val="24"/>
          <w:lang w:val="en-US"/>
        </w:rPr>
      </w:pPr>
      <w:r w:rsidRPr="00A01CF1">
        <w:rPr>
          <w:rFonts w:ascii="Tahoma" w:hAnsi="Tahoma" w:cs="Tahoma"/>
          <w:b/>
          <w:sz w:val="24"/>
          <w:szCs w:val="24"/>
          <w:lang w:val="en-US"/>
        </w:rPr>
        <w:t>Results:</w:t>
      </w:r>
      <w:r w:rsidR="00ED470C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We collected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37 patients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with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multiple 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trauma.</w:t>
      </w:r>
      <w:r w:rsidR="00ED470C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A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>mo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ng them, 9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developed an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 xml:space="preserve"> AK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>I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.</w:t>
      </w:r>
      <w:r w:rsidR="00ED470C">
        <w:rPr>
          <w:rFonts w:asciiTheme="minorBidi" w:hAnsiTheme="minorBidi" w:cstheme="minorBidi"/>
          <w:bCs/>
          <w:sz w:val="24"/>
          <w:szCs w:val="24"/>
          <w:lang w:val="en-US"/>
        </w:rPr>
        <w:t xml:space="preserve"> T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he average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age 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>was</w:t>
      </w:r>
      <w:r w:rsidR="00ED470C">
        <w:rPr>
          <w:rFonts w:asciiTheme="minorBidi" w:hAnsiTheme="minorBidi" w:cstheme="minorBidi"/>
          <w:bCs/>
          <w:sz w:val="24"/>
          <w:szCs w:val="24"/>
          <w:lang w:val="en-US"/>
        </w:rPr>
        <w:t xml:space="preserve"> 38 years (18 -75 years) and the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sex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ratio M / F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9206D6" w:rsidRPr="00704C6B">
        <w:rPr>
          <w:rFonts w:asciiTheme="minorBidi" w:hAnsiTheme="minorBidi" w:cstheme="minorBidi"/>
          <w:bCs/>
          <w:sz w:val="24"/>
          <w:szCs w:val="24"/>
          <w:lang w:val="en-US"/>
        </w:rPr>
        <w:t>was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8.</w:t>
      </w:r>
      <w:r w:rsidR="008B5947" w:rsidRPr="00704C6B">
        <w:rPr>
          <w:bCs/>
          <w:sz w:val="24"/>
          <w:szCs w:val="24"/>
        </w:rPr>
        <w:t xml:space="preserve"> 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>At admission,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8 patients presented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a neurological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distress with an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average GS</w:t>
      </w:r>
      <w:r w:rsidR="008B594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at 9 (5-15).</w:t>
      </w:r>
    </w:p>
    <w:p w:rsidR="008B5947" w:rsidRPr="00704C6B" w:rsidRDefault="008B5947" w:rsidP="00E266F6">
      <w:pPr>
        <w:rPr>
          <w:rFonts w:asciiTheme="minorBidi" w:hAnsiTheme="minorBidi" w:cstheme="minorBidi"/>
          <w:bCs/>
          <w:sz w:val="24"/>
          <w:szCs w:val="24"/>
          <w:lang w:val="en-US"/>
        </w:rPr>
      </w:pP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Respiratory distress was observed in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>to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7 patients with an average initial gas ratio of 226 (147-300).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The use of mechanical ventilation was observed in all patients.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The mean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Blood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pressure was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77.33% with use of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catechol amines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in 77.77%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>cases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AKI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appeared on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average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of 2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da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>ys (1-7 days).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T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here were 5patients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in stage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1 (KDIGO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), 2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patients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in stage 2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and 2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patients</w:t>
      </w:r>
      <w:r w:rsidR="00FF3ED7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in stage 3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.</w:t>
      </w:r>
      <w:r w:rsidR="00BD013B" w:rsidRPr="00BD013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proofErr w:type="spellStart"/>
      <w:r w:rsidR="00BD013B" w:rsidRPr="00704C6B">
        <w:rPr>
          <w:rFonts w:asciiTheme="minorBidi" w:hAnsiTheme="minorBidi" w:cstheme="minorBidi"/>
          <w:bCs/>
          <w:sz w:val="24"/>
          <w:szCs w:val="24"/>
          <w:lang w:val="en-US"/>
        </w:rPr>
        <w:t>Oligoanuria</w:t>
      </w:r>
      <w:proofErr w:type="spellEnd"/>
      <w:r w:rsidR="00BD013B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was observed </w:t>
      </w:r>
      <w:r w:rsidR="00ED470C" w:rsidRPr="00704C6B">
        <w:rPr>
          <w:rFonts w:asciiTheme="minorBidi" w:hAnsiTheme="minorBidi" w:cstheme="minorBidi"/>
          <w:bCs/>
          <w:sz w:val="24"/>
          <w:szCs w:val="24"/>
          <w:lang w:val="en-US"/>
        </w:rPr>
        <w:t>into 2</w:t>
      </w:r>
      <w:r w:rsidR="00BD013B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patients. One patient required extra renal replacement therapy.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An initial IGSII score&gt; 31.1 points was predictive of the occurrence of post-traumatic AKI (p = 0.002), sensitivity 77.8%, specificity 75%.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D852AC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The 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etiology of AKI wa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>s pre-renal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in 6 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>cases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,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 xml:space="preserve"> tubular necrosis in 3 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>cases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(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2</w:t>
      </w:r>
      <w:r w:rsidR="00BD013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>with ischemic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 cause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and 1 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with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toxic 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>cause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).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>A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total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resumption </w:t>
      </w:r>
      <w:r w:rsidR="00D852AC"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of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kidney function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was 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 xml:space="preserve">observed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into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 7 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>patients. But</w:t>
      </w:r>
      <w:r w:rsidR="000F5EB0">
        <w:rPr>
          <w:rFonts w:asciiTheme="minorBidi" w:hAnsiTheme="minorBidi" w:cstheme="minorBidi"/>
          <w:bCs/>
          <w:sz w:val="24"/>
          <w:szCs w:val="24"/>
          <w:lang w:val="en-US"/>
        </w:rPr>
        <w:t xml:space="preserve"> its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Loss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was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noted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in</w:t>
      </w:r>
      <w:r w:rsidR="008F3804">
        <w:rPr>
          <w:rFonts w:asciiTheme="minorBidi" w:hAnsiTheme="minorBidi" w:cstheme="minorBidi"/>
          <w:bCs/>
          <w:sz w:val="24"/>
          <w:szCs w:val="24"/>
          <w:lang w:val="en-US"/>
        </w:rPr>
        <w:t xml:space="preserve">to </w:t>
      </w:r>
      <w:r w:rsidR="008F3804" w:rsidRPr="00704C6B">
        <w:rPr>
          <w:rFonts w:asciiTheme="minorBidi" w:hAnsiTheme="minorBidi" w:cstheme="minorBidi"/>
          <w:bCs/>
          <w:sz w:val="24"/>
          <w:szCs w:val="24"/>
          <w:lang w:val="en-US"/>
        </w:rPr>
        <w:t>2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 xml:space="preserve"> patients.</w:t>
      </w:r>
      <w:r w:rsidR="00E266F6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Pr="00704C6B">
        <w:rPr>
          <w:rFonts w:asciiTheme="minorBidi" w:hAnsiTheme="minorBidi" w:cstheme="minorBidi"/>
          <w:bCs/>
          <w:sz w:val="24"/>
          <w:szCs w:val="24"/>
          <w:lang w:val="en-US"/>
        </w:rPr>
        <w:t>Mortality was 33.33% due to multi visceral failure.</w:t>
      </w:r>
    </w:p>
    <w:p w:rsidR="00D46C36" w:rsidRPr="00E266F6" w:rsidRDefault="008B5947" w:rsidP="00E266F6">
      <w:pPr>
        <w:rPr>
          <w:rFonts w:asciiTheme="minorBidi" w:hAnsiTheme="minorBidi" w:cstheme="minorBidi"/>
          <w:b/>
          <w:sz w:val="28"/>
          <w:szCs w:val="28"/>
          <w:lang w:val="en-US"/>
        </w:rPr>
      </w:pPr>
      <w:r w:rsidRPr="008B5947">
        <w:rPr>
          <w:rFonts w:asciiTheme="minorBidi" w:hAnsiTheme="minorBidi" w:cstheme="minorBidi"/>
          <w:b/>
          <w:sz w:val="28"/>
          <w:szCs w:val="28"/>
          <w:lang w:val="en-US"/>
        </w:rPr>
        <w:t>Conclusion:</w:t>
      </w:r>
      <w:r w:rsidR="00E266F6">
        <w:rPr>
          <w:rFonts w:asciiTheme="minorBidi" w:hAnsiTheme="minorBidi" w:cstheme="minorBidi"/>
          <w:b/>
          <w:sz w:val="28"/>
          <w:szCs w:val="28"/>
          <w:lang w:val="en-US"/>
        </w:rPr>
        <w:t xml:space="preserve"> </w:t>
      </w:r>
      <w:bookmarkStart w:id="0" w:name="_GoBack"/>
      <w:bookmarkEnd w:id="0"/>
      <w:r w:rsidRPr="00D774D5">
        <w:rPr>
          <w:rFonts w:asciiTheme="minorBidi" w:hAnsiTheme="minorBidi" w:cstheme="minorBidi"/>
          <w:bCs/>
          <w:sz w:val="24"/>
          <w:szCs w:val="24"/>
          <w:lang w:val="en-US"/>
        </w:rPr>
        <w:t>AKI</w:t>
      </w:r>
      <w:r w:rsidR="00D852AC"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8F3804" w:rsidRPr="00D774D5">
        <w:rPr>
          <w:rFonts w:asciiTheme="minorBidi" w:hAnsiTheme="minorBidi" w:cstheme="minorBidi"/>
          <w:bCs/>
          <w:sz w:val="24"/>
          <w:szCs w:val="24"/>
          <w:lang w:val="en-US"/>
        </w:rPr>
        <w:t>among multiple</w:t>
      </w:r>
      <w:r w:rsidR="00D852AC"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Pr="00D774D5">
        <w:rPr>
          <w:rFonts w:asciiTheme="minorBidi" w:hAnsiTheme="minorBidi" w:cstheme="minorBidi"/>
          <w:bCs/>
          <w:sz w:val="24"/>
          <w:szCs w:val="24"/>
          <w:lang w:val="en-US"/>
        </w:rPr>
        <w:t>trauma</w:t>
      </w:r>
      <w:r w:rsidR="00D852AC" w:rsidRPr="00D774D5">
        <w:rPr>
          <w:rFonts w:asciiTheme="minorBidi" w:hAnsiTheme="minorBidi" w:cstheme="minorBidi"/>
          <w:bCs/>
          <w:sz w:val="24"/>
          <w:szCs w:val="24"/>
          <w:lang w:val="en-US"/>
        </w:rPr>
        <w:t>tic</w:t>
      </w:r>
      <w:r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 </w:t>
      </w:r>
      <w:r w:rsidR="00D852AC" w:rsidRPr="00D774D5">
        <w:rPr>
          <w:rFonts w:asciiTheme="minorBidi" w:hAnsiTheme="minorBidi" w:cstheme="minorBidi"/>
          <w:bCs/>
          <w:sz w:val="24"/>
          <w:szCs w:val="24"/>
          <w:lang w:val="en-US"/>
        </w:rPr>
        <w:t>patients is a frequent and serious complication</w:t>
      </w:r>
      <w:r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. It is </w:t>
      </w:r>
      <w:r w:rsidR="00704C6B"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generally linked to Kidney low perfusion </w:t>
      </w:r>
      <w:r w:rsidR="008F3804" w:rsidRPr="00D774D5">
        <w:rPr>
          <w:rFonts w:asciiTheme="minorBidi" w:hAnsiTheme="minorBidi" w:cstheme="minorBidi"/>
          <w:bCs/>
          <w:sz w:val="24"/>
          <w:szCs w:val="24"/>
          <w:lang w:val="en-US"/>
        </w:rPr>
        <w:t>secondary to</w:t>
      </w:r>
      <w:r w:rsidRPr="00D774D5">
        <w:rPr>
          <w:rFonts w:asciiTheme="minorBidi" w:hAnsiTheme="minorBidi" w:cstheme="minorBidi"/>
          <w:bCs/>
          <w:sz w:val="24"/>
          <w:szCs w:val="24"/>
          <w:lang w:val="en-US"/>
        </w:rPr>
        <w:t xml:space="preserve"> trauma-related hemorrhage.</w:t>
      </w:r>
      <w:r w:rsidR="00AF6761" w:rsidRPr="00C8405F">
        <w:rPr>
          <w:rFonts w:asciiTheme="minorBidi" w:hAnsiTheme="minorBidi" w:cstheme="minorBidi"/>
          <w:sz w:val="28"/>
          <w:szCs w:val="28"/>
          <w:lang w:val="en-US"/>
        </w:rPr>
        <w:t xml:space="preserve"> </w:t>
      </w:r>
    </w:p>
    <w:sectPr w:rsidR="00D46C36" w:rsidRPr="00E266F6" w:rsidSect="00E16322">
      <w:pgSz w:w="11906" w:h="16838"/>
      <w:pgMar w:top="184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NotTrackMove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92AFA"/>
    <w:rsid w:val="00081863"/>
    <w:rsid w:val="000F5EB0"/>
    <w:rsid w:val="00183243"/>
    <w:rsid w:val="001939F9"/>
    <w:rsid w:val="00391671"/>
    <w:rsid w:val="00592AFA"/>
    <w:rsid w:val="00704C6B"/>
    <w:rsid w:val="007E105C"/>
    <w:rsid w:val="008B5947"/>
    <w:rsid w:val="008F3804"/>
    <w:rsid w:val="009206D6"/>
    <w:rsid w:val="009E44DE"/>
    <w:rsid w:val="00AF6761"/>
    <w:rsid w:val="00B27A4F"/>
    <w:rsid w:val="00BD013B"/>
    <w:rsid w:val="00C8405F"/>
    <w:rsid w:val="00CA26F7"/>
    <w:rsid w:val="00CE23CA"/>
    <w:rsid w:val="00D774D5"/>
    <w:rsid w:val="00D852AC"/>
    <w:rsid w:val="00E266F6"/>
    <w:rsid w:val="00E64DE8"/>
    <w:rsid w:val="00ED470C"/>
    <w:rsid w:val="00FF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86751-6F7D-4840-A2EB-30141B6D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AFA"/>
    <w:pPr>
      <w:spacing w:after="200" w:line="276" w:lineRule="auto"/>
    </w:pPr>
    <w:rPr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6C36"/>
    <w:rPr>
      <w:sz w:val="22"/>
      <w:szCs w:val="22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6C36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392A45-10AA-49CA-AE89-CACDCBF951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12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CAP PARTNER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ASUS</cp:lastModifiedBy>
  <cp:revision>5</cp:revision>
  <cp:lastPrinted>1900-12-31T22:00:00Z</cp:lastPrinted>
  <dcterms:created xsi:type="dcterms:W3CDTF">2020-01-17T17:05:00Z</dcterms:created>
  <dcterms:modified xsi:type="dcterms:W3CDTF">2020-01-17T19:38:00Z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26e6d3e6-cbf1-45d1-a976-d72e92ae657a</vt:lpwstr>
  </property>
</Properties>
</file>