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1D304" w14:textId="77777777" w:rsidR="007C1737" w:rsidRDefault="007C1737" w:rsidP="00C824FA">
      <w:pPr>
        <w:jc w:val="left"/>
        <w:rPr>
          <w:rFonts w:ascii="TH SarabunPSK" w:hAnsi="TH SarabunPSK" w:cs="TH SarabunPSK"/>
          <w:b/>
          <w:bCs/>
        </w:rPr>
      </w:pPr>
    </w:p>
    <w:p w14:paraId="7845E947" w14:textId="77777777" w:rsidR="007C1737" w:rsidRDefault="007C1737" w:rsidP="007C1737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Prevalence and Predictors of Glomerular Filtration Rate Decline</w:t>
      </w:r>
    </w:p>
    <w:p w14:paraId="2D13324B" w14:textId="77777777" w:rsidR="007C1737" w:rsidRDefault="007C1737" w:rsidP="007C1737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in Patients with Diabetic Kidney Disease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</w:rPr>
        <w:t>Using RAAS Blocking Agents</w:t>
      </w:r>
    </w:p>
    <w:p w14:paraId="547D377E" w14:textId="77777777" w:rsidR="007C1737" w:rsidRDefault="007C1737" w:rsidP="007C1737">
      <w:pPr>
        <w:jc w:val="left"/>
        <w:rPr>
          <w:rFonts w:ascii="TH SarabunPSK" w:hAnsi="TH SarabunPSK" w:cs="TH SarabunPSK"/>
          <w:b/>
          <w:bCs/>
          <w:vertAlign w:val="superscript"/>
        </w:rPr>
      </w:pPr>
      <w:r>
        <w:rPr>
          <w:rFonts w:ascii="TH SarabunPSK" w:hAnsi="TH SarabunPSK" w:cs="TH SarabunPSK"/>
          <w:b/>
          <w:bCs/>
        </w:rPr>
        <w:t>Chanchana Boonyakrai M.D.</w:t>
      </w:r>
      <w:r>
        <w:rPr>
          <w:rFonts w:ascii="TH SarabunPSK" w:hAnsi="TH SarabunPSK" w:cs="TH SarabunPSK"/>
          <w:b/>
          <w:bCs/>
          <w:vertAlign w:val="superscript"/>
        </w:rPr>
        <w:t>1</w:t>
      </w:r>
      <w:r>
        <w:rPr>
          <w:rFonts w:ascii="TH SarabunPSK" w:hAnsi="TH SarabunPSK" w:cs="TH SarabunPSK"/>
          <w:b/>
          <w:bCs/>
        </w:rPr>
        <w:t xml:space="preserve">, Sumitra </w:t>
      </w:r>
      <w:proofErr w:type="spellStart"/>
      <w:r>
        <w:rPr>
          <w:rFonts w:ascii="TH SarabunPSK" w:hAnsi="TH SarabunPSK" w:cs="TH SarabunPSK"/>
          <w:b/>
          <w:bCs/>
        </w:rPr>
        <w:t>Chukaew</w:t>
      </w:r>
      <w:proofErr w:type="spellEnd"/>
      <w:r>
        <w:rPr>
          <w:rFonts w:ascii="TH SarabunPSK" w:hAnsi="TH SarabunPSK" w:cs="TH SarabunPSK"/>
          <w:b/>
          <w:bCs/>
        </w:rPr>
        <w:t xml:space="preserve"> R.N.</w:t>
      </w:r>
      <w:r>
        <w:rPr>
          <w:rFonts w:ascii="TH SarabunPSK" w:hAnsi="TH SarabunPSK" w:cs="TH SarabunPSK"/>
          <w:b/>
          <w:bCs/>
          <w:vertAlign w:val="superscript"/>
        </w:rPr>
        <w:t xml:space="preserve"> 2</w:t>
      </w:r>
      <w:r>
        <w:rPr>
          <w:rFonts w:ascii="TH SarabunPSK" w:hAnsi="TH SarabunPSK" w:cs="TH SarabunPSK"/>
          <w:b/>
          <w:bCs/>
        </w:rPr>
        <w:t xml:space="preserve">, </w:t>
      </w:r>
      <w:proofErr w:type="spellStart"/>
      <w:r>
        <w:rPr>
          <w:rFonts w:ascii="TH SarabunPSK" w:hAnsi="TH SarabunPSK" w:cs="TH SarabunPSK"/>
          <w:b/>
          <w:bCs/>
        </w:rPr>
        <w:t>Wilailuck</w:t>
      </w:r>
      <w:proofErr w:type="spellEnd"/>
      <w:r>
        <w:rPr>
          <w:rFonts w:ascii="TH SarabunPSK" w:hAnsi="TH SarabunPSK" w:cs="TH SarabunPSK"/>
          <w:b/>
          <w:bCs/>
        </w:rPr>
        <w:t xml:space="preserve"> </w:t>
      </w:r>
      <w:proofErr w:type="spellStart"/>
      <w:r>
        <w:rPr>
          <w:rFonts w:ascii="TH SarabunPSK" w:hAnsi="TH SarabunPSK" w:cs="TH SarabunPSK"/>
          <w:b/>
          <w:bCs/>
        </w:rPr>
        <w:t>Tuntayothin</w:t>
      </w:r>
      <w:proofErr w:type="spellEnd"/>
      <w:r>
        <w:rPr>
          <w:rFonts w:ascii="TH SarabunPSK" w:hAnsi="TH SarabunPSK" w:cs="TH SarabunPSK"/>
          <w:b/>
          <w:bCs/>
        </w:rPr>
        <w:t xml:space="preserve"> </w:t>
      </w:r>
      <w:proofErr w:type="gramStart"/>
      <w:r>
        <w:rPr>
          <w:rFonts w:ascii="TH SarabunPSK" w:hAnsi="TH SarabunPSK" w:cs="TH SarabunPSK"/>
          <w:b/>
          <w:bCs/>
        </w:rPr>
        <w:t>B.Pharm</w:t>
      </w:r>
      <w:proofErr w:type="gramEnd"/>
      <w:r>
        <w:rPr>
          <w:rFonts w:ascii="TH SarabunPSK" w:hAnsi="TH SarabunPSK" w:cs="TH SarabunPSK"/>
          <w:b/>
          <w:bCs/>
          <w:vertAlign w:val="superscript"/>
        </w:rPr>
        <w:t>3</w:t>
      </w:r>
    </w:p>
    <w:p w14:paraId="62C6CB37" w14:textId="6E01394E" w:rsidR="007C1737" w:rsidRDefault="007C1737" w:rsidP="007C1737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1 Division of Nephrology, department of internal medicine, </w:t>
      </w:r>
      <w:proofErr w:type="spellStart"/>
      <w:r>
        <w:rPr>
          <w:rFonts w:ascii="TH SarabunPSK" w:hAnsi="TH SarabunPSK" w:cs="TH SarabunPSK"/>
          <w:b/>
          <w:bCs/>
        </w:rPr>
        <w:t>Taksin</w:t>
      </w:r>
      <w:proofErr w:type="spellEnd"/>
      <w:r>
        <w:rPr>
          <w:rFonts w:ascii="TH SarabunPSK" w:hAnsi="TH SarabunPSK" w:cs="TH SarabunPSK"/>
          <w:b/>
          <w:bCs/>
        </w:rPr>
        <w:t xml:space="preserve"> hospital 2 Diabetes center department of internal </w:t>
      </w:r>
      <w:proofErr w:type="spellStart"/>
      <w:proofErr w:type="gramStart"/>
      <w:r>
        <w:rPr>
          <w:rFonts w:ascii="TH SarabunPSK" w:hAnsi="TH SarabunPSK" w:cs="TH SarabunPSK"/>
          <w:b/>
          <w:bCs/>
        </w:rPr>
        <w:t>medicine,Taksin</w:t>
      </w:r>
      <w:proofErr w:type="spellEnd"/>
      <w:proofErr w:type="gramEnd"/>
      <w:r>
        <w:rPr>
          <w:rFonts w:ascii="TH SarabunPSK" w:hAnsi="TH SarabunPSK" w:cs="TH SarabunPSK"/>
          <w:b/>
          <w:bCs/>
        </w:rPr>
        <w:t xml:space="preserve"> hospital 3.Chulalongkorn </w:t>
      </w:r>
      <w:r w:rsidRPr="007C1737">
        <w:rPr>
          <w:rFonts w:ascii="TH SarabunPSK" w:hAnsi="TH SarabunPSK" w:cs="TH SarabunPSK"/>
          <w:b/>
          <w:bCs/>
          <w:color w:val="0D0D0D" w:themeColor="text1" w:themeTint="F2"/>
        </w:rPr>
        <w:t>U</w:t>
      </w:r>
      <w:r>
        <w:rPr>
          <w:rFonts w:ascii="TH SarabunPSK" w:hAnsi="TH SarabunPSK" w:cs="TH SarabunPSK"/>
          <w:b/>
          <w:bCs/>
        </w:rPr>
        <w:t>niversity</w:t>
      </w:r>
    </w:p>
    <w:p w14:paraId="5E729713" w14:textId="77777777" w:rsidR="007C1737" w:rsidRDefault="007C1737" w:rsidP="007C1737">
      <w:pPr>
        <w:jc w:val="left"/>
        <w:rPr>
          <w:rFonts w:ascii="TH SarabunPSK" w:hAnsi="TH SarabunPSK" w:cs="TH SarabunPSK"/>
          <w:b/>
          <w:bCs/>
        </w:rPr>
      </w:pPr>
      <w:bookmarkStart w:id="0" w:name="_GoBack"/>
      <w:bookmarkEnd w:id="0"/>
      <w:r>
        <w:rPr>
          <w:rFonts w:ascii="TH SarabunPSK" w:hAnsi="TH SarabunPSK" w:cs="TH SarabunPSK"/>
          <w:b/>
          <w:bCs/>
        </w:rPr>
        <w:t>Background</w:t>
      </w:r>
      <w:r>
        <w:rPr>
          <w:rFonts w:ascii="TH SarabunPSK" w:hAnsi="TH SarabunPSK" w:cs="TH SarabunPSK" w:hint="cs"/>
          <w:b/>
          <w:bCs/>
          <w:cs/>
        </w:rPr>
        <w:t xml:space="preserve">: </w:t>
      </w:r>
      <w:r>
        <w:rPr>
          <w:rFonts w:ascii="TH SarabunPSK" w:hAnsi="TH SarabunPSK" w:cs="TH SarabunPSK"/>
        </w:rPr>
        <w:t>Diabetes confers an increased risk of deteriorating renal impairment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 xml:space="preserve"> The role of renin angiotensin aldosterone blocking agent (RAAS blocking agent) in treatment diabetic kidney disease needs re</w:t>
      </w:r>
      <w:r>
        <w:rPr>
          <w:rFonts w:ascii="TH SarabunPSK" w:hAnsi="TH SarabunPSK" w:cs="TH SarabunPSK" w:hint="cs"/>
          <w:cs/>
        </w:rPr>
        <w:t>-</w:t>
      </w:r>
      <w:r>
        <w:rPr>
          <w:rFonts w:ascii="TH SarabunPSK" w:hAnsi="TH SarabunPSK" w:cs="TH SarabunPSK"/>
        </w:rPr>
        <w:t>evaluation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t xml:space="preserve"> The effects of RAAS blocking agents in inappropriate administration (defined as sub-optimal or overdose) on renal event in patients with diabetes were assessed</w:t>
      </w:r>
      <w:r>
        <w:rPr>
          <w:rFonts w:ascii="TH SarabunPSK" w:hAnsi="TH SarabunPSK" w:cs="TH SarabunPSK" w:hint="cs"/>
          <w:b/>
          <w:bCs/>
          <w:cs/>
        </w:rPr>
        <w:t>.</w:t>
      </w:r>
    </w:p>
    <w:p w14:paraId="6D1A9C6D" w14:textId="77777777" w:rsidR="007C1737" w:rsidRPr="007C1737" w:rsidRDefault="007C1737" w:rsidP="007C1737">
      <w:pPr>
        <w:jc w:val="left"/>
        <w:rPr>
          <w:rFonts w:ascii="TH SarabunPSK" w:hAnsi="TH SarabunPSK" w:cs="TH SarabunPSK"/>
          <w:color w:val="0D0D0D" w:themeColor="text1" w:themeTint="F2"/>
        </w:rPr>
      </w:pPr>
      <w:r>
        <w:rPr>
          <w:rFonts w:ascii="TH SarabunPSK" w:hAnsi="TH SarabunPSK" w:cs="TH SarabunPSK"/>
          <w:b/>
          <w:bCs/>
        </w:rPr>
        <w:t>Methods</w:t>
      </w:r>
      <w:r>
        <w:rPr>
          <w:rFonts w:ascii="TH SarabunPSK" w:hAnsi="TH SarabunPSK" w:cs="TH SarabunPSK" w:hint="cs"/>
          <w:b/>
          <w:bCs/>
          <w:cs/>
        </w:rPr>
        <w:t xml:space="preserve">: </w:t>
      </w:r>
      <w:r>
        <w:rPr>
          <w:rFonts w:ascii="TH SarabunPSK" w:hAnsi="TH SarabunPSK" w:cs="TH SarabunPSK"/>
        </w:rPr>
        <w:t xml:space="preserve">In this retrospective 2-year period study from 2016 to 2017, patients with type 2 diabetes were treated with angiotensin converting enzyme (ACE) inhibitors or angiotensin receptor blockers. Multivariable logistic regression model was used to </w:t>
      </w:r>
      <w:r w:rsidRPr="007C1737">
        <w:rPr>
          <w:rFonts w:ascii="TH SarabunPSK" w:hAnsi="TH SarabunPSK" w:cs="TH SarabunPSK"/>
          <w:color w:val="0D0D0D" w:themeColor="text1" w:themeTint="F2"/>
        </w:rPr>
        <w:t>access the risk factors of the rapid decline estimated glomerular filtration rate (eGFR) compared with non-rapid decline eGFR. Secondary renal outcome were composites of new-onset persistent albuminuria in appropriate used RAAS blocking agent compared with inappropriate usage.</w:t>
      </w:r>
    </w:p>
    <w:tbl>
      <w:tblPr>
        <w:tblW w:w="16088" w:type="dxa"/>
        <w:tblLook w:val="04A0" w:firstRow="1" w:lastRow="0" w:firstColumn="1" w:lastColumn="0" w:noHBand="0" w:noVBand="1"/>
      </w:tblPr>
      <w:tblGrid>
        <w:gridCol w:w="9498"/>
        <w:gridCol w:w="6590"/>
      </w:tblGrid>
      <w:tr w:rsidR="007C1737" w:rsidRPr="007C1737" w14:paraId="787B97CB" w14:textId="77777777" w:rsidTr="007C1737">
        <w:trPr>
          <w:trHeight w:val="280"/>
        </w:trPr>
        <w:tc>
          <w:tcPr>
            <w:tcW w:w="9498" w:type="dxa"/>
            <w:noWrap/>
            <w:vAlign w:val="bottom"/>
            <w:hideMark/>
          </w:tcPr>
          <w:p w14:paraId="30EFEA59" w14:textId="3E5F6DB9" w:rsidR="007C1737" w:rsidRPr="007C1737" w:rsidRDefault="007C1737">
            <w:pPr>
              <w:suppressAutoHyphens w:val="0"/>
              <w:spacing w:line="256" w:lineRule="auto"/>
              <w:ind w:left="-110" w:right="-41"/>
              <w:jc w:val="both"/>
              <w:rPr>
                <w:rFonts w:ascii="TH SarabunPSK" w:hAnsi="TH SarabunPSK" w:cs="TH SarabunPSK"/>
                <w:color w:val="0D0D0D" w:themeColor="text1" w:themeTint="F2"/>
                <w:lang w:eastAsia="en-US"/>
              </w:rPr>
            </w:pPr>
            <w:r w:rsidRPr="007C1737">
              <w:rPr>
                <w:rFonts w:ascii="TH SarabunPSK" w:hAnsi="TH SarabunPSK" w:cs="TH SarabunPSK"/>
                <w:b/>
                <w:bCs/>
                <w:color w:val="0D0D0D" w:themeColor="text1" w:themeTint="F2"/>
              </w:rPr>
              <w:t xml:space="preserve">Results: </w:t>
            </w:r>
            <w:r w:rsidRPr="007C1737">
              <w:rPr>
                <w:rFonts w:ascii="TH SarabunPSK" w:hAnsi="TH SarabunPSK" w:cs="TH SarabunPSK"/>
                <w:strike/>
                <w:color w:val="0D0D0D" w:themeColor="text1" w:themeTint="F2"/>
              </w:rPr>
              <w:t>Of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 total 500 patients, 195 (39%) subjects developed to rapidly decreased eGFR of more than 5 ml/min/1.73m</w:t>
            </w:r>
            <w:r w:rsidRPr="007C1737">
              <w:rPr>
                <w:rFonts w:ascii="TH SarabunPSK" w:hAnsi="TH SarabunPSK" w:cs="TH SarabunPSK"/>
                <w:color w:val="0D0D0D" w:themeColor="text1" w:themeTint="F2"/>
                <w:vertAlign w:val="superscript"/>
              </w:rPr>
              <w:t>2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 over one year. There </w:t>
            </w:r>
            <w:proofErr w:type="gramStart"/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>were</w:t>
            </w:r>
            <w:proofErr w:type="gramEnd"/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 the significant difference between the rapid decline eGFR group and non-rapid eGFR group, including myocardial infarction (8.21% vs. 1.97 %; 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>p=0.001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), angina pectoris (10 % vs. 2%; 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>p=0.001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) higher level of albuminuria (746.37 vs 281.68 mg/g; 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>p=0.017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), and lower level of serum albumin (3.93 vs 4.22 mg/dl; 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>p&lt;0.001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>). Multiple logistic regression analysis revealed the significant associations between rapid decline eGFR and myocardial infarction (adjusted odds ratio 3.37 [95% CI 1.24,9.15];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 xml:space="preserve"> p= 0.017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), angina pectoris (adjusted OR 5.49[95% CI 1.13,26.74]; 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>p=0.035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>), and hypoalbuminemia (adjusted OR 2.77 [95% CI 1.31,5.85];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 xml:space="preserve"> p= 0.007).</w:t>
            </w:r>
            <w:r w:rsidRPr="007C1737">
              <w:rPr>
                <w:rFonts w:ascii="TH SarabunPSK" w:hAnsi="TH SarabunPSK" w:cs="TH SarabunPSK"/>
                <w:strike/>
                <w:color w:val="0D0D0D" w:themeColor="text1" w:themeTint="F2"/>
              </w:rPr>
              <w:t xml:space="preserve"> 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>Analysis of RAAS blocking agent showed that there were 281 (56.2%) patients received inappropriate RAAS blocking agent</w:t>
            </w:r>
            <w:r w:rsidRPr="007C1737">
              <w:rPr>
                <w:rFonts w:ascii="TH SarabunPSK" w:hAnsi="TH SarabunPSK" w:cs="TH SarabunPSK"/>
                <w:color w:val="0D0D0D" w:themeColor="text1" w:themeTint="F2"/>
                <w:lang w:eastAsia="en-US"/>
              </w:rPr>
              <w:t xml:space="preserve">s and 219 (43.8) 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>patients received appropriate RAAS blocking agent</w:t>
            </w:r>
            <w:r w:rsidRPr="007C1737">
              <w:rPr>
                <w:rFonts w:ascii="TH SarabunPSK" w:hAnsi="TH SarabunPSK" w:cs="TH SarabunPSK"/>
                <w:color w:val="0D0D0D" w:themeColor="text1" w:themeTint="F2"/>
                <w:lang w:eastAsia="en-US"/>
              </w:rPr>
              <w:t xml:space="preserve">s.  There was the significantly association with the risk of 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>new onset microalbuminuria 22% in patients received inappropriate RAAS blocking agent</w:t>
            </w:r>
            <w:r w:rsidRPr="007C1737">
              <w:rPr>
                <w:rFonts w:ascii="TH SarabunPSK" w:hAnsi="TH SarabunPSK" w:cs="TH SarabunPSK"/>
                <w:color w:val="0D0D0D" w:themeColor="text1" w:themeTint="F2"/>
                <w:lang w:eastAsia="en-US"/>
              </w:rPr>
              <w:t>s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 comparing with patients received appropriate RAAS blocking agent</w:t>
            </w:r>
            <w:r w:rsidRPr="007C1737">
              <w:rPr>
                <w:rFonts w:ascii="TH SarabunPSK" w:hAnsi="TH SarabunPSK" w:cs="TH SarabunPSK"/>
                <w:color w:val="0D0D0D" w:themeColor="text1" w:themeTint="F2"/>
                <w:lang w:eastAsia="en-US"/>
              </w:rPr>
              <w:t>s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 (RR 1.22 [95% CI 1.05,1.43]; </w:t>
            </w:r>
            <w:r w:rsidRPr="007C1737">
              <w:rPr>
                <w:rFonts w:ascii="TH SarabunPSK" w:hAnsi="TH SarabunPSK" w:cs="TH SarabunPSK"/>
                <w:i/>
                <w:iCs/>
                <w:color w:val="0D0D0D" w:themeColor="text1" w:themeTint="F2"/>
              </w:rPr>
              <w:t>p=0.006</w:t>
            </w:r>
            <w:r w:rsidRPr="007C1737">
              <w:rPr>
                <w:rFonts w:ascii="TH SarabunPSK" w:hAnsi="TH SarabunPSK" w:cs="TH SarabunPSK"/>
                <w:color w:val="0D0D0D" w:themeColor="text1" w:themeTint="F2"/>
              </w:rPr>
              <w:t xml:space="preserve">). </w:t>
            </w:r>
          </w:p>
        </w:tc>
        <w:tc>
          <w:tcPr>
            <w:tcW w:w="6590" w:type="dxa"/>
            <w:noWrap/>
            <w:vAlign w:val="bottom"/>
            <w:hideMark/>
          </w:tcPr>
          <w:p w14:paraId="7EFE2FC5" w14:textId="77777777" w:rsidR="007C1737" w:rsidRPr="007C1737" w:rsidRDefault="007C1737">
            <w:pPr>
              <w:suppressAutoHyphens w:val="0"/>
              <w:spacing w:line="256" w:lineRule="auto"/>
              <w:jc w:val="left"/>
              <w:rPr>
                <w:rFonts w:ascii="TH SarabunPSK" w:hAnsi="TH SarabunPSK" w:cs="TH SarabunPSK"/>
                <w:color w:val="0D0D0D" w:themeColor="text1" w:themeTint="F2"/>
                <w:lang w:eastAsia="en-US"/>
              </w:rPr>
            </w:pPr>
            <w:r w:rsidRPr="007C1737">
              <w:rPr>
                <w:rFonts w:ascii="TH SarabunPSK" w:hAnsi="TH SarabunPSK" w:cs="TH SarabunPSK"/>
                <w:color w:val="0D0D0D" w:themeColor="text1" w:themeTint="F2"/>
                <w:lang w:eastAsia="en-US"/>
              </w:rPr>
              <w:t xml:space="preserve"> </w:t>
            </w:r>
          </w:p>
        </w:tc>
      </w:tr>
    </w:tbl>
    <w:p w14:paraId="387B3112" w14:textId="77777777" w:rsidR="007C1737" w:rsidRPr="007C1737" w:rsidRDefault="007C1737" w:rsidP="007C1737">
      <w:pPr>
        <w:jc w:val="left"/>
        <w:rPr>
          <w:rFonts w:ascii="TH SarabunPSK" w:hAnsi="TH SarabunPSK" w:cs="TH SarabunPSK"/>
          <w:color w:val="0D0D0D" w:themeColor="text1" w:themeTint="F2"/>
        </w:rPr>
      </w:pPr>
      <w:r w:rsidRPr="007C1737">
        <w:rPr>
          <w:rFonts w:ascii="TH SarabunPSK" w:hAnsi="TH SarabunPSK" w:cs="TH SarabunPSK"/>
          <w:b/>
          <w:bCs/>
          <w:color w:val="0D0D0D" w:themeColor="text1" w:themeTint="F2"/>
        </w:rPr>
        <w:t>Conclusions: C</w:t>
      </w:r>
      <w:r w:rsidRPr="007C1737">
        <w:rPr>
          <w:rFonts w:ascii="TH SarabunPSK" w:hAnsi="TH SarabunPSK" w:cs="TH SarabunPSK"/>
          <w:color w:val="0D0D0D" w:themeColor="text1" w:themeTint="F2"/>
        </w:rPr>
        <w:t>ardiovascular disease, albuminuria, and hypoalbuminemia are the major risk factors leading to rapid decline eGFR developing in type 2 DM patients received RAAS blocking agent</w:t>
      </w:r>
      <w:r w:rsidRPr="007C1737">
        <w:rPr>
          <w:rFonts w:ascii="TH SarabunPSK" w:hAnsi="TH SarabunPSK" w:cs="TH SarabunPSK"/>
          <w:color w:val="0D0D0D" w:themeColor="text1" w:themeTint="F2"/>
          <w:lang w:eastAsia="en-US"/>
        </w:rPr>
        <w:t xml:space="preserve">s.  Moreover, the </w:t>
      </w:r>
      <w:r w:rsidRPr="007C1737">
        <w:rPr>
          <w:rFonts w:ascii="TH SarabunPSK" w:hAnsi="TH SarabunPSK" w:cs="TH SarabunPSK"/>
          <w:color w:val="0D0D0D" w:themeColor="text1" w:themeTint="F2"/>
        </w:rPr>
        <w:t>appropriate RAAS blocking agent</w:t>
      </w:r>
      <w:r w:rsidRPr="007C1737">
        <w:rPr>
          <w:rFonts w:ascii="TH SarabunPSK" w:hAnsi="TH SarabunPSK" w:cs="TH SarabunPSK"/>
          <w:color w:val="0D0D0D" w:themeColor="text1" w:themeTint="F2"/>
          <w:lang w:eastAsia="en-US"/>
        </w:rPr>
        <w:t>s</w:t>
      </w:r>
      <w:r w:rsidRPr="007C1737">
        <w:rPr>
          <w:rFonts w:ascii="TH SarabunPSK" w:hAnsi="TH SarabunPSK" w:cs="TH SarabunPSK"/>
          <w:color w:val="0D0D0D" w:themeColor="text1" w:themeTint="F2"/>
        </w:rPr>
        <w:t xml:space="preserve"> should be the concerned issue.</w:t>
      </w:r>
    </w:p>
    <w:p w14:paraId="69164FC9" w14:textId="77777777" w:rsidR="007C1737" w:rsidRPr="007C1737" w:rsidRDefault="007C1737" w:rsidP="007C1737">
      <w:pPr>
        <w:jc w:val="left"/>
        <w:rPr>
          <w:rFonts w:ascii="TH SarabunPSK" w:hAnsi="TH SarabunPSK" w:cs="TH SarabunPSK"/>
          <w:color w:val="0D0D0D" w:themeColor="text1" w:themeTint="F2"/>
        </w:rPr>
      </w:pPr>
      <w:r w:rsidRPr="007C1737">
        <w:rPr>
          <w:rFonts w:ascii="TH SarabunPSK" w:hAnsi="TH SarabunPSK" w:cs="TH SarabunPSK"/>
          <w:color w:val="0D0D0D" w:themeColor="text1" w:themeTint="F2"/>
        </w:rPr>
        <w:t xml:space="preserve"> </w:t>
      </w:r>
    </w:p>
    <w:p w14:paraId="17FFC077" w14:textId="77777777" w:rsidR="007C1737" w:rsidRDefault="007C1737" w:rsidP="007C1737">
      <w:pPr>
        <w:spacing w:line="480" w:lineRule="auto"/>
        <w:ind w:right="-187"/>
        <w:jc w:val="both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b/>
          <w:bCs/>
          <w:i/>
          <w:iCs/>
          <w:noProof/>
        </w:rPr>
        <w:t>Keywords</w:t>
      </w:r>
      <w:r>
        <w:rPr>
          <w:rFonts w:ascii="TH SarabunPSK" w:hAnsi="TH SarabunPSK" w:cs="TH SarabunPSK"/>
          <w:b/>
          <w:bCs/>
          <w:i/>
          <w:iCs/>
        </w:rPr>
        <w:t>:</w:t>
      </w:r>
      <w:r>
        <w:rPr>
          <w:rFonts w:ascii="TH SarabunPSK" w:hAnsi="TH SarabunPSK" w:cs="TH SarabunPSK"/>
        </w:rPr>
        <w:t xml:space="preserve"> Diabetic kidney disease, RAAS blocking agents</w:t>
      </w:r>
      <w:r>
        <w:rPr>
          <w:rFonts w:ascii="TH SarabunPSK" w:hAnsi="TH SarabunPSK" w:cs="TH SarabunPSK"/>
          <w:noProof/>
        </w:rPr>
        <w:t>, albuminuria</w:t>
      </w:r>
    </w:p>
    <w:p w14:paraId="49876507" w14:textId="77777777" w:rsidR="007C1737" w:rsidRDefault="007C1737" w:rsidP="007C1737">
      <w:pPr>
        <w:spacing w:line="480" w:lineRule="auto"/>
        <w:ind w:right="-187"/>
        <w:jc w:val="both"/>
        <w:rPr>
          <w:rFonts w:ascii="TH SarabunPSK" w:hAnsi="TH SarabunPSK" w:cs="TH SarabunPSK"/>
          <w:noProof/>
        </w:rPr>
      </w:pPr>
    </w:p>
    <w:p w14:paraId="6A3BA88A" w14:textId="77777777" w:rsidR="007C1737" w:rsidRDefault="007C1737" w:rsidP="007C1737">
      <w:pPr>
        <w:spacing w:line="480" w:lineRule="auto"/>
        <w:ind w:right="-187"/>
        <w:jc w:val="both"/>
        <w:rPr>
          <w:rFonts w:ascii="TH SarabunPSK" w:hAnsi="TH SarabunPSK" w:cs="TH SarabunPSK"/>
          <w:noProof/>
        </w:rPr>
      </w:pPr>
    </w:p>
    <w:p w14:paraId="0DBD9EA9" w14:textId="77777777" w:rsidR="007C1737" w:rsidRDefault="007C1737" w:rsidP="007C1737">
      <w:pPr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BIOGRAPHY</w:t>
      </w:r>
    </w:p>
    <w:p w14:paraId="3E7C7BC8" w14:textId="77777777" w:rsidR="007C1737" w:rsidRDefault="007C1737" w:rsidP="007C1737">
      <w:pPr>
        <w:jc w:val="left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</w:rPr>
        <w:t xml:space="preserve">Doctor Chanchana Boonyakrai was graduated master’s degree from Chulalongkorn university since 2000 and nephrology study from King Chulalongkorn Memorial hospital. I ‘m director of medicine department of </w:t>
      </w:r>
      <w:proofErr w:type="spellStart"/>
      <w:r>
        <w:rPr>
          <w:rFonts w:ascii="TH SarabunPSK" w:hAnsi="TH SarabunPSK" w:cs="TH SarabunPSK"/>
        </w:rPr>
        <w:t>Taksin</w:t>
      </w:r>
      <w:proofErr w:type="spellEnd"/>
      <w:r>
        <w:rPr>
          <w:rFonts w:ascii="TH SarabunPSK" w:hAnsi="TH SarabunPSK" w:cs="TH SarabunPSK"/>
        </w:rPr>
        <w:t xml:space="preserve"> hospital, Bangkok Metropolitan Administration Thailand. I sent poster /Oral presentation at</w:t>
      </w:r>
      <w:r>
        <w:rPr>
          <w:rFonts w:ascii="Times New Roman" w:hAnsi="Times New Roman" w:cs="Times New Roman"/>
          <w:noProof/>
          <w:color w:val="000000"/>
          <w:sz w:val="24"/>
          <w:szCs w:val="24"/>
          <w:lang w:eastAsia="en-US"/>
        </w:rPr>
        <w:t xml:space="preserve"> </w:t>
      </w:r>
      <w:r>
        <w:rPr>
          <w:rFonts w:ascii="TH SarabunPSK" w:hAnsi="TH SarabunPSK" w:cs="TH SarabunPSK"/>
          <w:noProof/>
          <w:color w:val="000000"/>
          <w:lang w:eastAsia="en-US"/>
        </w:rPr>
        <w:t>at the 11</w:t>
      </w:r>
      <w:r>
        <w:rPr>
          <w:rFonts w:ascii="TH SarabunPSK" w:hAnsi="TH SarabunPSK" w:cs="TH SarabunPSK"/>
          <w:noProof/>
          <w:color w:val="000000"/>
          <w:vertAlign w:val="superscript"/>
          <w:lang w:eastAsia="en-US"/>
        </w:rPr>
        <w:t>th</w:t>
      </w:r>
      <w:r>
        <w:rPr>
          <w:rFonts w:ascii="TH SarabunPSK" w:hAnsi="TH SarabunPSK" w:cs="TH SarabunPSK"/>
          <w:noProof/>
          <w:color w:val="000000"/>
          <w:lang w:eastAsia="en-US"/>
        </w:rPr>
        <w:t xml:space="preserve"> International society of hemodialysis , August 2017(ISHD 2017) , the 14</w:t>
      </w:r>
      <w:r>
        <w:rPr>
          <w:rFonts w:ascii="TH SarabunPSK" w:hAnsi="TH SarabunPSK" w:cs="TH SarabunPSK"/>
          <w:noProof/>
          <w:color w:val="000000"/>
          <w:vertAlign w:val="superscript"/>
          <w:lang w:eastAsia="en-US"/>
        </w:rPr>
        <w:t>th</w:t>
      </w:r>
      <w:r>
        <w:rPr>
          <w:rFonts w:ascii="TH SarabunPSK" w:hAnsi="TH SarabunPSK" w:cs="TH SarabunPSK"/>
          <w:noProof/>
          <w:color w:val="000000"/>
          <w:lang w:eastAsia="en-US"/>
        </w:rPr>
        <w:t xml:space="preserve"> Asia Pacific Conference on Diabetic Limb Problems ,November 2017 (APCDLP 2017).,ISN World Congress of Nephrology(WCN)2019.</w:t>
      </w:r>
      <w:r>
        <w:rPr>
          <w:rFonts w:ascii="Times New Roman" w:hAnsi="Times New Roman" w:cs="Times New Roman"/>
          <w:noProof/>
          <w:color w:val="000000"/>
          <w:lang w:eastAsia="en-US"/>
        </w:rPr>
        <w:t xml:space="preserve">  </w:t>
      </w:r>
    </w:p>
    <w:p w14:paraId="48A57EF3" w14:textId="77777777" w:rsidR="007C1737" w:rsidRDefault="007C1737" w:rsidP="007C1737">
      <w:pPr>
        <w:jc w:val="center"/>
        <w:rPr>
          <w:rFonts w:ascii="TH SarabunPSK" w:hAnsi="TH SarabunPSK" w:cs="TH SarabunPSK"/>
          <w:b/>
          <w:bCs/>
        </w:rPr>
      </w:pPr>
    </w:p>
    <w:p w14:paraId="1003FB35" w14:textId="77777777" w:rsidR="007C1737" w:rsidRDefault="007C1737" w:rsidP="007C1737">
      <w:r>
        <w:t>CHANCHANA BOONYAKRAI</w:t>
      </w:r>
    </w:p>
    <w:p w14:paraId="03C8EC4F" w14:textId="77777777" w:rsidR="007C1737" w:rsidRDefault="007C1737" w:rsidP="007C1737">
      <w:pPr>
        <w:rPr>
          <w:rFonts w:ascii="AngsanaUPC" w:hAnsi="AngsanaUPC" w:cs="AngsanaUPC"/>
        </w:rPr>
      </w:pPr>
      <w:r>
        <w:t xml:space="preserve">Contact number </w:t>
      </w:r>
      <w:r>
        <w:rPr>
          <w:rFonts w:ascii="AngsanaUPC" w:hAnsi="AngsanaUPC" w:cs="AngsanaUPC"/>
        </w:rPr>
        <w:t>6681647550</w:t>
      </w:r>
    </w:p>
    <w:p w14:paraId="4E1E5430" w14:textId="77777777" w:rsidR="007C1737" w:rsidRDefault="007C1737" w:rsidP="007C1737">
      <w:pPr>
        <w:rPr>
          <w:rFonts w:ascii="AngsanaUPC" w:hAnsi="AngsanaUPC" w:cs="AngsanaUPC"/>
        </w:rPr>
      </w:pPr>
      <w:r>
        <w:rPr>
          <w:rFonts w:ascii="AngsanaUPC" w:hAnsi="AngsanaUPC" w:cs="AngsanaUPC"/>
        </w:rPr>
        <w:t xml:space="preserve">Email address </w:t>
      </w:r>
      <w:hyperlink r:id="rId4" w:history="1">
        <w:r>
          <w:rPr>
            <w:rStyle w:val="Hyperlink"/>
            <w:rFonts w:ascii="AngsanaUPC" w:hAnsi="AngsanaUPC" w:cs="AngsanaUPC"/>
          </w:rPr>
          <w:t>Pooboonyakrai@hotmail.com</w:t>
        </w:r>
      </w:hyperlink>
    </w:p>
    <w:p w14:paraId="7C9085D5" w14:textId="77777777" w:rsidR="007C1737" w:rsidRDefault="007C1737" w:rsidP="007C1737">
      <w:pPr>
        <w:rPr>
          <w:rFonts w:ascii="AngsanaUPC" w:hAnsi="AngsanaUPC" w:cs="AngsanaUPC"/>
        </w:rPr>
      </w:pPr>
      <w:r>
        <w:rPr>
          <w:rFonts w:ascii="AngsanaUPC" w:hAnsi="AngsanaUPC" w:cs="AngsanaUPC"/>
        </w:rPr>
        <w:t>Category: poster presentation</w:t>
      </w:r>
    </w:p>
    <w:p w14:paraId="4F6B38C2" w14:textId="77777777" w:rsidR="007C1737" w:rsidRDefault="007C1737" w:rsidP="007C1737">
      <w:pPr>
        <w:rPr>
          <w:rFonts w:ascii="AngsanaUPC" w:hAnsi="AngsanaUPC" w:cs="AngsanaUPC"/>
        </w:rPr>
      </w:pPr>
      <w:r>
        <w:rPr>
          <w:rFonts w:ascii="AngsanaUPC" w:hAnsi="AngsanaUPC" w:cs="AngsanaUPC"/>
        </w:rPr>
        <w:t xml:space="preserve">Address </w:t>
      </w:r>
      <w:proofErr w:type="spellStart"/>
      <w:r>
        <w:rPr>
          <w:rFonts w:ascii="TH SarabunPSK" w:hAnsi="TH SarabunPSK" w:cs="TH SarabunPSK"/>
        </w:rPr>
        <w:t>Taksin</w:t>
      </w:r>
      <w:proofErr w:type="spellEnd"/>
      <w:r>
        <w:rPr>
          <w:rFonts w:ascii="TH SarabunPSK" w:hAnsi="TH SarabunPSK" w:cs="TH SarabunPSK"/>
        </w:rPr>
        <w:t xml:space="preserve"> hospital, Bangkok Metropolitan Administration</w:t>
      </w:r>
      <w:r>
        <w:rPr>
          <w:rFonts w:ascii="AngsanaUPC" w:hAnsi="AngsanaUPC" w:cs="AngsanaUPC"/>
        </w:rPr>
        <w:t xml:space="preserve"> 543 </w:t>
      </w:r>
      <w:proofErr w:type="spellStart"/>
      <w:r>
        <w:rPr>
          <w:rFonts w:ascii="AngsanaUPC" w:hAnsi="AngsanaUPC" w:cs="AngsanaUPC"/>
        </w:rPr>
        <w:t>Somdet</w:t>
      </w:r>
      <w:proofErr w:type="spellEnd"/>
      <w:r>
        <w:rPr>
          <w:rFonts w:ascii="AngsanaUPC" w:hAnsi="AngsanaUPC" w:cs="AngsanaUPC"/>
        </w:rPr>
        <w:t xml:space="preserve"> </w:t>
      </w:r>
      <w:proofErr w:type="spellStart"/>
      <w:r>
        <w:rPr>
          <w:rFonts w:ascii="AngsanaUPC" w:hAnsi="AngsanaUPC" w:cs="AngsanaUPC"/>
        </w:rPr>
        <w:t>Chaopraya</w:t>
      </w:r>
      <w:proofErr w:type="spellEnd"/>
      <w:r>
        <w:rPr>
          <w:rFonts w:ascii="AngsanaUPC" w:hAnsi="AngsanaUPC" w:cs="AngsanaUPC"/>
        </w:rPr>
        <w:t xml:space="preserve"> road, </w:t>
      </w:r>
      <w:proofErr w:type="spellStart"/>
      <w:r>
        <w:rPr>
          <w:rFonts w:ascii="AngsanaUPC" w:hAnsi="AngsanaUPC" w:cs="AngsanaUPC"/>
        </w:rPr>
        <w:t>Klongsan</w:t>
      </w:r>
      <w:proofErr w:type="spellEnd"/>
      <w:r>
        <w:rPr>
          <w:rFonts w:ascii="AngsanaUPC" w:hAnsi="AngsanaUPC" w:cs="AngsanaUPC"/>
        </w:rPr>
        <w:t xml:space="preserve"> Bangkok 10600</w:t>
      </w:r>
    </w:p>
    <w:p w14:paraId="60376F29" w14:textId="77777777" w:rsidR="007C1737" w:rsidRPr="005F7B68" w:rsidRDefault="007C1737">
      <w:pPr>
        <w:rPr>
          <w:rFonts w:ascii="AngsanaUPC" w:hAnsi="AngsanaUPC" w:cs="AngsanaUPC"/>
        </w:rPr>
      </w:pPr>
    </w:p>
    <w:sectPr w:rsidR="007C1737" w:rsidRPr="005F7B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4FA"/>
    <w:rsid w:val="00006FE1"/>
    <w:rsid w:val="00025759"/>
    <w:rsid w:val="00046B4E"/>
    <w:rsid w:val="00065332"/>
    <w:rsid w:val="000C7CF3"/>
    <w:rsid w:val="000D798A"/>
    <w:rsid w:val="00121506"/>
    <w:rsid w:val="001279D0"/>
    <w:rsid w:val="00127F7E"/>
    <w:rsid w:val="001412EC"/>
    <w:rsid w:val="0017174B"/>
    <w:rsid w:val="001C49D4"/>
    <w:rsid w:val="00220106"/>
    <w:rsid w:val="002372BF"/>
    <w:rsid w:val="002A341C"/>
    <w:rsid w:val="002B7480"/>
    <w:rsid w:val="00313D92"/>
    <w:rsid w:val="00314046"/>
    <w:rsid w:val="0037050F"/>
    <w:rsid w:val="00383936"/>
    <w:rsid w:val="003A6313"/>
    <w:rsid w:val="003A63DE"/>
    <w:rsid w:val="003C720B"/>
    <w:rsid w:val="003D64B5"/>
    <w:rsid w:val="00405479"/>
    <w:rsid w:val="00423A15"/>
    <w:rsid w:val="00452B8A"/>
    <w:rsid w:val="004750F0"/>
    <w:rsid w:val="004D5AA9"/>
    <w:rsid w:val="004E1B19"/>
    <w:rsid w:val="00556D15"/>
    <w:rsid w:val="005F7B68"/>
    <w:rsid w:val="006062A5"/>
    <w:rsid w:val="0061272F"/>
    <w:rsid w:val="00694B36"/>
    <w:rsid w:val="006B657F"/>
    <w:rsid w:val="006D4A34"/>
    <w:rsid w:val="00700E51"/>
    <w:rsid w:val="007046E7"/>
    <w:rsid w:val="007304C0"/>
    <w:rsid w:val="007312D7"/>
    <w:rsid w:val="0075383F"/>
    <w:rsid w:val="007C1737"/>
    <w:rsid w:val="007E679A"/>
    <w:rsid w:val="007E6E7B"/>
    <w:rsid w:val="0082478D"/>
    <w:rsid w:val="00877982"/>
    <w:rsid w:val="00894872"/>
    <w:rsid w:val="008E382A"/>
    <w:rsid w:val="00951317"/>
    <w:rsid w:val="009D6E63"/>
    <w:rsid w:val="00A17BEF"/>
    <w:rsid w:val="00A23FD8"/>
    <w:rsid w:val="00A5355D"/>
    <w:rsid w:val="00AB72BD"/>
    <w:rsid w:val="00AC5AE9"/>
    <w:rsid w:val="00AE5400"/>
    <w:rsid w:val="00B37270"/>
    <w:rsid w:val="00B64DA2"/>
    <w:rsid w:val="00BB3A85"/>
    <w:rsid w:val="00BF2F62"/>
    <w:rsid w:val="00C15A4F"/>
    <w:rsid w:val="00C24877"/>
    <w:rsid w:val="00C33E58"/>
    <w:rsid w:val="00C42E7B"/>
    <w:rsid w:val="00C824FA"/>
    <w:rsid w:val="00D21711"/>
    <w:rsid w:val="00D37D64"/>
    <w:rsid w:val="00D428D2"/>
    <w:rsid w:val="00DB6C18"/>
    <w:rsid w:val="00EB0E23"/>
    <w:rsid w:val="00F6705F"/>
    <w:rsid w:val="00FA2193"/>
    <w:rsid w:val="00FA6757"/>
    <w:rsid w:val="00FC0D30"/>
    <w:rsid w:val="00FD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E655B"/>
  <w15:chartTrackingRefBased/>
  <w15:docId w15:val="{A7E49C6C-E316-4DF8-856C-4D80B898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24FA"/>
    <w:pPr>
      <w:suppressAutoHyphens/>
      <w:spacing w:after="0" w:line="240" w:lineRule="auto"/>
      <w:jc w:val="thaiDistribute"/>
    </w:pPr>
    <w:rPr>
      <w:rFonts w:ascii="TH SarabunIT๙" w:eastAsia="Times New Roman" w:hAnsi="TH SarabunIT๙" w:cs="TH SarabunIT๙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7B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B6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oboonyakrai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chanchana boonyakrai</cp:lastModifiedBy>
  <cp:revision>3</cp:revision>
  <dcterms:created xsi:type="dcterms:W3CDTF">2019-02-10T15:54:00Z</dcterms:created>
  <dcterms:modified xsi:type="dcterms:W3CDTF">2019-02-10T23:46:00Z</dcterms:modified>
</cp:coreProperties>
</file>