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A2F" w:rsidRPr="007B3D79" w:rsidRDefault="00D40A2F" w:rsidP="00D40A2F">
      <w:pPr>
        <w:spacing w:after="0" w:line="240" w:lineRule="auto"/>
        <w:rPr>
          <w:rFonts w:ascii="Times New Roman" w:hAnsi="Times New Roman"/>
          <w:b/>
          <w:sz w:val="24"/>
          <w:szCs w:val="24"/>
          <w:lang w:val="en-GB"/>
        </w:rPr>
      </w:pPr>
    </w:p>
    <w:p w:rsidR="007B3D79" w:rsidRPr="007B3D79" w:rsidRDefault="007B3D79" w:rsidP="007B3D79">
      <w:pPr>
        <w:autoSpaceDE w:val="0"/>
        <w:autoSpaceDN w:val="0"/>
        <w:adjustRightInd w:val="0"/>
        <w:spacing w:after="0" w:line="240" w:lineRule="auto"/>
        <w:rPr>
          <w:rFonts w:ascii="Times New Roman" w:eastAsiaTheme="minorHAnsi" w:hAnsi="Times New Roman"/>
          <w:b/>
          <w:sz w:val="24"/>
          <w:szCs w:val="24"/>
          <w:lang w:val="en-GB"/>
        </w:rPr>
      </w:pPr>
      <w:bookmarkStart w:id="0" w:name="_GoBack"/>
      <w:r w:rsidRPr="007B3D79">
        <w:rPr>
          <w:rFonts w:ascii="Times New Roman" w:eastAsiaTheme="minorHAnsi" w:hAnsi="Times New Roman"/>
          <w:b/>
          <w:sz w:val="24"/>
          <w:szCs w:val="24"/>
          <w:lang w:val="en-GB"/>
        </w:rPr>
        <w:t xml:space="preserve">Percutaneous Placement of </w:t>
      </w:r>
      <w:r w:rsidRPr="007B3D79">
        <w:rPr>
          <w:rFonts w:ascii="Times New Roman" w:eastAsiaTheme="minorHAnsi" w:hAnsi="Times New Roman"/>
          <w:b/>
          <w:bCs/>
          <w:sz w:val="24"/>
          <w:szCs w:val="24"/>
          <w:lang w:val="en-GB"/>
        </w:rPr>
        <w:t>Haemodialysis</w:t>
      </w:r>
      <w:r w:rsidRPr="007B3D79">
        <w:rPr>
          <w:rFonts w:ascii="Times New Roman" w:eastAsiaTheme="minorHAnsi" w:hAnsi="Times New Roman"/>
          <w:b/>
          <w:bCs/>
          <w:sz w:val="24"/>
          <w:szCs w:val="24"/>
          <w:lang w:val="en-GB"/>
        </w:rPr>
        <w:t xml:space="preserve"> </w:t>
      </w:r>
      <w:r w:rsidRPr="007B3D79">
        <w:rPr>
          <w:rFonts w:ascii="Times New Roman" w:eastAsiaTheme="minorHAnsi" w:hAnsi="Times New Roman"/>
          <w:b/>
          <w:bCs/>
          <w:sz w:val="24"/>
          <w:szCs w:val="24"/>
          <w:lang w:val="en-GB"/>
        </w:rPr>
        <w:t>Catheters</w:t>
      </w:r>
      <w:r w:rsidRPr="007B3D79">
        <w:rPr>
          <w:rFonts w:ascii="Times New Roman" w:eastAsiaTheme="minorHAnsi" w:hAnsi="Times New Roman"/>
          <w:b/>
          <w:sz w:val="24"/>
          <w:szCs w:val="24"/>
          <w:lang w:val="en-GB"/>
        </w:rPr>
        <w:t>:</w:t>
      </w:r>
      <w:r w:rsidRPr="007B3D79">
        <w:rPr>
          <w:rFonts w:ascii="Times New Roman" w:eastAsiaTheme="minorHAnsi" w:hAnsi="Times New Roman"/>
          <w:b/>
          <w:sz w:val="24"/>
          <w:szCs w:val="24"/>
          <w:lang w:val="en-GB"/>
        </w:rPr>
        <w:t xml:space="preserve"> Comparing the</w:t>
      </w:r>
    </w:p>
    <w:p w:rsidR="007B3D79" w:rsidRPr="007B3D79" w:rsidRDefault="007B3D79" w:rsidP="007B3D79">
      <w:pPr>
        <w:autoSpaceDE w:val="0"/>
        <w:autoSpaceDN w:val="0"/>
        <w:adjustRightInd w:val="0"/>
        <w:spacing w:after="0" w:line="240" w:lineRule="auto"/>
        <w:rPr>
          <w:rFonts w:ascii="Times New Roman" w:eastAsiaTheme="minorHAnsi" w:hAnsi="Times New Roman"/>
          <w:b/>
          <w:sz w:val="24"/>
          <w:szCs w:val="24"/>
          <w:lang w:val="en-GB"/>
        </w:rPr>
      </w:pPr>
      <w:r w:rsidRPr="007B3D79">
        <w:rPr>
          <w:rFonts w:ascii="Times New Roman" w:eastAsiaTheme="minorHAnsi" w:hAnsi="Times New Roman"/>
          <w:b/>
          <w:sz w:val="24"/>
          <w:szCs w:val="24"/>
          <w:lang w:val="en-GB"/>
        </w:rPr>
        <w:t xml:space="preserve">Anatomical Landmark Method with the </w:t>
      </w:r>
      <w:r w:rsidRPr="007B3D79">
        <w:rPr>
          <w:rFonts w:ascii="Times New Roman" w:eastAsiaTheme="minorHAnsi" w:hAnsi="Times New Roman"/>
          <w:b/>
          <w:sz w:val="24"/>
          <w:szCs w:val="24"/>
          <w:lang w:val="en-GB"/>
        </w:rPr>
        <w:t>Ultrasound</w:t>
      </w:r>
      <w:r w:rsidRPr="007B3D79">
        <w:rPr>
          <w:rFonts w:ascii="Times New Roman" w:eastAsiaTheme="minorHAnsi" w:hAnsi="Times New Roman"/>
          <w:b/>
          <w:sz w:val="24"/>
          <w:szCs w:val="24"/>
          <w:lang w:val="en-GB"/>
        </w:rPr>
        <w:t xml:space="preserve"> Guided Technique</w:t>
      </w:r>
    </w:p>
    <w:p w:rsidR="00FB33F5" w:rsidRDefault="00FB33F5" w:rsidP="007B3D79">
      <w:pPr>
        <w:spacing w:line="259" w:lineRule="auto"/>
        <w:rPr>
          <w:rFonts w:ascii="Times New Roman" w:eastAsiaTheme="minorHAnsi" w:hAnsi="Times New Roman"/>
          <w:sz w:val="24"/>
          <w:szCs w:val="24"/>
          <w:lang w:val="en-GB"/>
        </w:rPr>
      </w:pPr>
    </w:p>
    <w:p w:rsidR="007B3D79" w:rsidRPr="007B3D79" w:rsidRDefault="007B3D79" w:rsidP="007B3D79">
      <w:pPr>
        <w:spacing w:line="259" w:lineRule="auto"/>
        <w:rPr>
          <w:rFonts w:ascii="Times New Roman" w:eastAsiaTheme="minorHAnsi" w:hAnsi="Times New Roman"/>
          <w:sz w:val="24"/>
          <w:szCs w:val="24"/>
          <w:lang w:val="en-GB"/>
        </w:rPr>
      </w:pPr>
      <w:r w:rsidRPr="007B3D79">
        <w:rPr>
          <w:rFonts w:ascii="Times New Roman" w:eastAsiaTheme="minorHAnsi" w:hAnsi="Times New Roman"/>
          <w:sz w:val="24"/>
          <w:szCs w:val="24"/>
          <w:lang w:val="en-GB"/>
        </w:rPr>
        <w:t xml:space="preserve">N. </w:t>
      </w:r>
      <w:proofErr w:type="spellStart"/>
      <w:r w:rsidRPr="007B3D79">
        <w:rPr>
          <w:rFonts w:ascii="Times New Roman" w:eastAsiaTheme="minorHAnsi" w:hAnsi="Times New Roman"/>
          <w:sz w:val="24"/>
          <w:szCs w:val="24"/>
          <w:lang w:val="en-GB"/>
        </w:rPr>
        <w:t>Bellik</w:t>
      </w:r>
      <w:proofErr w:type="spellEnd"/>
      <w:r w:rsidRPr="007B3D79">
        <w:rPr>
          <w:rFonts w:ascii="Times New Roman" w:eastAsiaTheme="minorHAnsi" w:hAnsi="Times New Roman"/>
          <w:sz w:val="24"/>
          <w:szCs w:val="24"/>
          <w:lang w:val="en-GB"/>
        </w:rPr>
        <w:t xml:space="preserve">, A. </w:t>
      </w:r>
      <w:proofErr w:type="spellStart"/>
      <w:r w:rsidRPr="007B3D79">
        <w:rPr>
          <w:rFonts w:ascii="Times New Roman" w:eastAsiaTheme="minorHAnsi" w:hAnsi="Times New Roman"/>
          <w:sz w:val="24"/>
          <w:szCs w:val="24"/>
          <w:lang w:val="en-GB"/>
        </w:rPr>
        <w:t>Benziane</w:t>
      </w:r>
      <w:proofErr w:type="spellEnd"/>
      <w:r w:rsidRPr="007B3D79">
        <w:rPr>
          <w:rFonts w:ascii="Times New Roman" w:eastAsiaTheme="minorHAnsi" w:hAnsi="Times New Roman"/>
          <w:sz w:val="24"/>
          <w:szCs w:val="24"/>
          <w:lang w:val="en-GB"/>
        </w:rPr>
        <w:t xml:space="preserve">, A. </w:t>
      </w:r>
      <w:proofErr w:type="spellStart"/>
      <w:r w:rsidRPr="007B3D79">
        <w:rPr>
          <w:rFonts w:ascii="Times New Roman" w:eastAsiaTheme="minorHAnsi" w:hAnsi="Times New Roman"/>
          <w:sz w:val="24"/>
          <w:szCs w:val="24"/>
          <w:lang w:val="en-GB"/>
        </w:rPr>
        <w:t>Remache</w:t>
      </w:r>
      <w:proofErr w:type="spellEnd"/>
      <w:r w:rsidRPr="007B3D79">
        <w:rPr>
          <w:rFonts w:ascii="Times New Roman" w:eastAsiaTheme="minorHAnsi" w:hAnsi="Times New Roman"/>
          <w:sz w:val="24"/>
          <w:szCs w:val="24"/>
          <w:lang w:val="en-GB"/>
        </w:rPr>
        <w:t xml:space="preserve"> </w:t>
      </w:r>
    </w:p>
    <w:p w:rsidR="007B3D79" w:rsidRPr="007B3D79" w:rsidRDefault="007B3D79" w:rsidP="007B3D79">
      <w:pPr>
        <w:spacing w:line="259" w:lineRule="auto"/>
        <w:rPr>
          <w:rFonts w:ascii="Times New Roman" w:eastAsiaTheme="minorHAnsi" w:hAnsi="Times New Roman"/>
          <w:sz w:val="24"/>
          <w:szCs w:val="24"/>
          <w:lang w:val="en-GB"/>
        </w:rPr>
      </w:pPr>
      <w:r w:rsidRPr="007B3D79">
        <w:rPr>
          <w:rFonts w:ascii="Times New Roman" w:eastAsiaTheme="minorHAnsi" w:hAnsi="Times New Roman"/>
          <w:sz w:val="24"/>
          <w:szCs w:val="24"/>
          <w:lang w:val="en-GB"/>
        </w:rPr>
        <w:t xml:space="preserve">Department of Nephrology, Bab el Oued, University of Algiers 1, </w:t>
      </w:r>
      <w:proofErr w:type="spellStart"/>
      <w:r w:rsidRPr="007B3D79">
        <w:rPr>
          <w:rFonts w:ascii="Times New Roman" w:eastAsiaTheme="minorHAnsi" w:hAnsi="Times New Roman"/>
          <w:sz w:val="24"/>
          <w:szCs w:val="24"/>
          <w:lang w:val="en-GB"/>
        </w:rPr>
        <w:t>Benyoucef</w:t>
      </w:r>
      <w:proofErr w:type="spellEnd"/>
      <w:r w:rsidRPr="007B3D79">
        <w:rPr>
          <w:rFonts w:ascii="Times New Roman" w:eastAsiaTheme="minorHAnsi" w:hAnsi="Times New Roman"/>
          <w:sz w:val="24"/>
          <w:szCs w:val="24"/>
          <w:lang w:val="en-GB"/>
        </w:rPr>
        <w:t xml:space="preserve"> </w:t>
      </w:r>
      <w:proofErr w:type="spellStart"/>
      <w:r w:rsidRPr="007B3D79">
        <w:rPr>
          <w:rFonts w:ascii="Times New Roman" w:eastAsiaTheme="minorHAnsi" w:hAnsi="Times New Roman"/>
          <w:sz w:val="24"/>
          <w:szCs w:val="24"/>
          <w:lang w:val="en-GB"/>
        </w:rPr>
        <w:t>Benkhedda</w:t>
      </w:r>
      <w:proofErr w:type="spellEnd"/>
      <w:r w:rsidRPr="007B3D79">
        <w:rPr>
          <w:rFonts w:ascii="Times New Roman" w:eastAsiaTheme="minorHAnsi" w:hAnsi="Times New Roman"/>
          <w:sz w:val="24"/>
          <w:szCs w:val="24"/>
          <w:lang w:val="en-GB"/>
        </w:rPr>
        <w:t>, Algeria.</w:t>
      </w:r>
    </w:p>
    <w:p w:rsidR="00D40A2F" w:rsidRPr="007B3D79" w:rsidRDefault="00D40A2F" w:rsidP="00D40A2F">
      <w:pPr>
        <w:spacing w:after="0" w:line="240" w:lineRule="auto"/>
        <w:rPr>
          <w:rFonts w:ascii="Times New Roman" w:hAnsi="Times New Roman"/>
          <w:b/>
          <w:sz w:val="24"/>
          <w:szCs w:val="24"/>
          <w:lang w:val="en-GB"/>
        </w:rPr>
      </w:pPr>
    </w:p>
    <w:p w:rsidR="00D40A2F" w:rsidRPr="007B3D79" w:rsidRDefault="00D40A2F" w:rsidP="00D40A2F">
      <w:pPr>
        <w:spacing w:after="0" w:line="240" w:lineRule="auto"/>
        <w:rPr>
          <w:rFonts w:ascii="Times New Roman" w:hAnsi="Times New Roman"/>
          <w:b/>
          <w:sz w:val="24"/>
          <w:szCs w:val="24"/>
          <w:lang w:val="en-GB"/>
        </w:rPr>
      </w:pPr>
      <w:r w:rsidRPr="007B3D79">
        <w:rPr>
          <w:rFonts w:ascii="Times New Roman" w:hAnsi="Times New Roman"/>
          <w:b/>
          <w:sz w:val="24"/>
          <w:szCs w:val="24"/>
          <w:lang w:val="en-GB"/>
        </w:rPr>
        <w:t>Summary:</w:t>
      </w:r>
    </w:p>
    <w:p w:rsidR="00D40A2F" w:rsidRPr="007B3D79" w:rsidRDefault="00D40A2F" w:rsidP="00D40A2F">
      <w:pPr>
        <w:spacing w:after="0" w:line="240" w:lineRule="auto"/>
        <w:rPr>
          <w:rFonts w:ascii="Times New Roman" w:hAnsi="Times New Roman"/>
          <w:b/>
          <w:sz w:val="24"/>
          <w:szCs w:val="24"/>
          <w:lang w:val="en-GB"/>
        </w:rPr>
      </w:pP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Central venous catheters for haemodialysis are temporary vascular access commonly used in haemodialysis.</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Most nephrology departments in Algeria use the technique of anatomical landmarks with a variable success rate and a significant rate of complications.</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 aim of our work is to compare the advantages and disadvantages of anatomical and ultrasound guided detection techniques.</w:t>
      </w:r>
    </w:p>
    <w:p w:rsidR="00D40A2F" w:rsidRPr="007B3D79" w:rsidRDefault="00D40A2F" w:rsidP="00D40A2F">
      <w:pPr>
        <w:spacing w:after="0" w:line="240" w:lineRule="auto"/>
        <w:rPr>
          <w:rFonts w:ascii="Times New Roman" w:hAnsi="Times New Roman"/>
          <w:b/>
          <w:sz w:val="24"/>
          <w:szCs w:val="24"/>
          <w:lang w:val="en-GB"/>
        </w:rPr>
      </w:pP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 xml:space="preserve">This is a randomized prospective study that was conducted in the nephrology department of the University Hospital of Bab el Oued between </w:t>
      </w:r>
      <w:r w:rsidR="007B3D79" w:rsidRPr="007B3D79">
        <w:rPr>
          <w:rFonts w:ascii="Times New Roman" w:hAnsi="Times New Roman"/>
          <w:sz w:val="24"/>
          <w:szCs w:val="24"/>
          <w:lang w:val="en-GB"/>
        </w:rPr>
        <w:t>November</w:t>
      </w:r>
      <w:r w:rsidRPr="007B3D79">
        <w:rPr>
          <w:rFonts w:ascii="Times New Roman" w:hAnsi="Times New Roman"/>
          <w:sz w:val="24"/>
          <w:szCs w:val="24"/>
          <w:lang w:val="en-GB"/>
        </w:rPr>
        <w:t xml:space="preserve"> 2016 and November 2018 involving 285 patients (mean age: 56 years and a sex ratio: 1.27 in favour male), in acute or terminal renal failure requiring the placement of a haemodialysis catheter for extrarenal treatment.</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Patients were randomized into two groups: Anatomical Landmark Group (AL) and an Echo guided Group (EG).</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 collected data, in addition to the demographic data, are: the locating technique, the insertion site, the overall success rate as well as the success rate at the first puncture and the complications.</w:t>
      </w:r>
    </w:p>
    <w:p w:rsidR="00D40A2F" w:rsidRPr="007B3D79" w:rsidRDefault="00D40A2F" w:rsidP="00D40A2F">
      <w:pPr>
        <w:spacing w:after="0" w:line="240" w:lineRule="auto"/>
        <w:rPr>
          <w:rFonts w:ascii="Times New Roman" w:hAnsi="Times New Roman"/>
          <w:sz w:val="24"/>
          <w:szCs w:val="24"/>
          <w:lang w:val="en-GB"/>
        </w:rPr>
      </w:pP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285 procedures were performed including 142 in the group (EG) and 143 in the group (AL).</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There was more success in the EG group (90.1%) than in the RA group (52.4%) with a very significant difference p &lt;10 -6.</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 success rate at the first puncture was also greater in the EG group (53.52%), compared with (24.47%) in the AL group with a significant difference p = 0.0002.</w:t>
      </w: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There were fewer immediate complications in the EG group with 19.7% versus 45.5% in the AL group and the difference is very significant p &lt;10 -6.</w:t>
      </w:r>
    </w:p>
    <w:p w:rsidR="00D40A2F" w:rsidRPr="007B3D79" w:rsidRDefault="00D40A2F" w:rsidP="00D40A2F">
      <w:pPr>
        <w:spacing w:after="0" w:line="240" w:lineRule="auto"/>
        <w:rPr>
          <w:rFonts w:ascii="Times New Roman" w:hAnsi="Times New Roman"/>
          <w:sz w:val="24"/>
          <w:szCs w:val="24"/>
          <w:lang w:val="en-GB"/>
        </w:rPr>
      </w:pP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sz w:val="24"/>
          <w:szCs w:val="24"/>
          <w:lang w:val="en-GB"/>
        </w:rPr>
        <w:t>The use of ultrasound guidance in the placement of central haemodialysis catheters significantly improves the success rate and success rate at the first puncture and significantly decreases the incidence of catheter insertion complications.</w:t>
      </w:r>
    </w:p>
    <w:p w:rsidR="00D40A2F" w:rsidRPr="007B3D79" w:rsidRDefault="00D40A2F" w:rsidP="00D40A2F">
      <w:pPr>
        <w:spacing w:after="0" w:line="240" w:lineRule="auto"/>
        <w:rPr>
          <w:rFonts w:ascii="Times New Roman" w:hAnsi="Times New Roman"/>
          <w:sz w:val="24"/>
          <w:szCs w:val="24"/>
          <w:lang w:val="en-GB"/>
        </w:rPr>
      </w:pPr>
    </w:p>
    <w:p w:rsidR="00D40A2F" w:rsidRPr="007B3D79" w:rsidRDefault="00D40A2F" w:rsidP="00D40A2F">
      <w:pPr>
        <w:spacing w:after="0" w:line="240" w:lineRule="auto"/>
        <w:rPr>
          <w:rFonts w:ascii="Times New Roman" w:hAnsi="Times New Roman"/>
          <w:sz w:val="24"/>
          <w:szCs w:val="24"/>
          <w:lang w:val="en-GB"/>
        </w:rPr>
      </w:pPr>
      <w:r w:rsidRPr="007B3D79">
        <w:rPr>
          <w:rFonts w:ascii="Times New Roman" w:hAnsi="Times New Roman"/>
          <w:b/>
          <w:sz w:val="24"/>
          <w:szCs w:val="24"/>
          <w:lang w:val="en-GB"/>
        </w:rPr>
        <w:t>Keywords:</w:t>
      </w:r>
      <w:r w:rsidRPr="007B3D79">
        <w:rPr>
          <w:rFonts w:ascii="Times New Roman" w:hAnsi="Times New Roman"/>
          <w:sz w:val="24"/>
          <w:szCs w:val="24"/>
          <w:lang w:val="en-GB"/>
        </w:rPr>
        <w:t xml:space="preserve"> central venous catheters, haemodialysis, ultrasound guidance, renal failure, complications.</w:t>
      </w:r>
    </w:p>
    <w:bookmarkEnd w:id="0"/>
    <w:p w:rsidR="009F4F9F" w:rsidRPr="007B3D79" w:rsidRDefault="009F4F9F">
      <w:pPr>
        <w:rPr>
          <w:sz w:val="24"/>
          <w:szCs w:val="24"/>
          <w:lang w:val="en-GB"/>
        </w:rPr>
      </w:pPr>
    </w:p>
    <w:sectPr w:rsidR="009F4F9F" w:rsidRPr="007B3D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A2F"/>
    <w:rsid w:val="007B3D79"/>
    <w:rsid w:val="009F4F9F"/>
    <w:rsid w:val="00D40A2F"/>
    <w:rsid w:val="00FB33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0B78"/>
  <w15:chartTrackingRefBased/>
  <w15:docId w15:val="{31A06719-0B0C-48A8-BF28-27E85F58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0A2F"/>
    <w:pPr>
      <w:spacing w:line="25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9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3136C-B28C-4E81-9043-3F38EFB6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1855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BELLIK</dc:creator>
  <cp:keywords/>
  <dc:description/>
  <cp:lastModifiedBy>Nabil BELLIK</cp:lastModifiedBy>
  <cp:revision>4</cp:revision>
  <dcterms:created xsi:type="dcterms:W3CDTF">2019-01-01T23:09:00Z</dcterms:created>
  <dcterms:modified xsi:type="dcterms:W3CDTF">2019-01-01T23:26:00Z</dcterms:modified>
</cp:coreProperties>
</file>