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92944" w:rsidRPr="00B92944" w:rsidRDefault="00B92944" w:rsidP="00B92944">
      <w:pPr>
        <w:spacing w:after="0" w:line="240" w:lineRule="auto"/>
        <w:jc w:val="center"/>
        <w:rPr>
          <w:rFonts w:asciiTheme="minorBidi" w:eastAsia="Times New Roman" w:hAnsiTheme="minorBidi"/>
          <w:sz w:val="36"/>
          <w:szCs w:val="36"/>
        </w:rPr>
      </w:pPr>
      <w:r w:rsidRPr="00B92944">
        <w:rPr>
          <w:rFonts w:asciiTheme="minorBidi" w:eastAsia="Times New Roman" w:hAnsiTheme="minorBidi"/>
          <w:i/>
          <w:iCs/>
          <w:color w:val="C00000"/>
          <w:sz w:val="36"/>
          <w:szCs w:val="36"/>
        </w:rPr>
        <w:t>De novo proliferative GN with monoclonal IgG deposits</w:t>
      </w:r>
      <w:r w:rsidRPr="00B92944">
        <w:rPr>
          <w:rFonts w:asciiTheme="minorBidi" w:eastAsia="Times New Roman" w:hAnsiTheme="minorBidi"/>
          <w:color w:val="C00000"/>
          <w:sz w:val="36"/>
          <w:szCs w:val="36"/>
        </w:rPr>
        <w:t xml:space="preserve"> </w:t>
      </w:r>
      <w:r w:rsidRPr="00B92944">
        <w:rPr>
          <w:rFonts w:asciiTheme="minorBidi" w:eastAsia="Times New Roman" w:hAnsiTheme="minorBidi"/>
          <w:sz w:val="36"/>
          <w:szCs w:val="36"/>
        </w:rPr>
        <w:t>(</w:t>
      </w:r>
      <w:r w:rsidRPr="00B92944">
        <w:rPr>
          <w:rFonts w:asciiTheme="minorBidi" w:eastAsia="Times New Roman" w:hAnsiTheme="minorBidi"/>
          <w:b/>
          <w:bCs/>
          <w:sz w:val="36"/>
          <w:szCs w:val="36"/>
          <w:highlight w:val="yellow"/>
        </w:rPr>
        <w:t>PGNMID</w:t>
      </w:r>
      <w:r w:rsidRPr="00B92944">
        <w:rPr>
          <w:rFonts w:asciiTheme="minorBidi" w:eastAsia="Times New Roman" w:hAnsiTheme="minorBidi"/>
          <w:sz w:val="36"/>
          <w:szCs w:val="36"/>
        </w:rPr>
        <w:t>):</w:t>
      </w:r>
      <w:bookmarkStart w:id="0" w:name="_GoBack"/>
      <w:bookmarkEnd w:id="0"/>
    </w:p>
    <w:p w:rsidR="00B92944" w:rsidRDefault="00B92944" w:rsidP="00B92944">
      <w:pPr>
        <w:spacing w:after="0" w:line="240" w:lineRule="auto"/>
        <w:jc w:val="both"/>
        <w:rPr>
          <w:rFonts w:asciiTheme="minorBidi" w:eastAsia="Times New Roman" w:hAnsiTheme="minorBidi"/>
          <w:sz w:val="28"/>
          <w:szCs w:val="28"/>
        </w:rPr>
      </w:pPr>
    </w:p>
    <w:p w:rsidR="00B92944" w:rsidRDefault="00B92944" w:rsidP="00B92944">
      <w:pPr>
        <w:spacing w:after="0" w:line="240" w:lineRule="auto"/>
        <w:jc w:val="both"/>
        <w:rPr>
          <w:rFonts w:asciiTheme="minorBidi" w:eastAsia="Times New Roman" w:hAnsiTheme="minorBidi"/>
          <w:sz w:val="24"/>
          <w:szCs w:val="24"/>
        </w:rPr>
      </w:pPr>
      <w:r w:rsidRPr="00B92944">
        <w:rPr>
          <w:rFonts w:asciiTheme="minorBidi" w:eastAsia="Times New Roman" w:hAnsiTheme="minorBidi"/>
          <w:sz w:val="24"/>
          <w:szCs w:val="24"/>
          <w:shd w:val="clear" w:color="auto" w:fill="FBE4D5" w:themeFill="accent2" w:themeFillTint="33"/>
        </w:rPr>
        <w:t>De novo proliferative GN with monoclonal IgG deposits (PGNMID) is an extremely rare disease [1-6]. PGNMID is a unique type of GN, that was first presented in the literature for the first time in 2004 [7], 5 years later the largest series (37 case) was presented in 2009 [8]. PGNMID is a proteinuria/hematuria syndrome with a reported incidence of only 0.17 %, usually with a normal workup for paraproteinemia [8].  While the recurrent PGNMID presents early (within the 1</w:t>
      </w:r>
      <w:r w:rsidRPr="00B92944">
        <w:rPr>
          <w:rFonts w:asciiTheme="minorBidi" w:eastAsia="Times New Roman" w:hAnsiTheme="minorBidi"/>
          <w:sz w:val="24"/>
          <w:szCs w:val="24"/>
          <w:shd w:val="clear" w:color="auto" w:fill="FBE4D5" w:themeFill="accent2" w:themeFillTint="33"/>
          <w:vertAlign w:val="superscript"/>
        </w:rPr>
        <w:t>st</w:t>
      </w:r>
      <w:r w:rsidRPr="00B92944">
        <w:rPr>
          <w:rFonts w:asciiTheme="minorBidi" w:eastAsia="Times New Roman" w:hAnsiTheme="minorBidi"/>
          <w:sz w:val="24"/>
          <w:szCs w:val="24"/>
          <w:shd w:val="clear" w:color="auto" w:fill="FBE4D5" w:themeFill="accent2" w:themeFillTint="33"/>
        </w:rPr>
        <w:t xml:space="preserve"> two years after renal transplantation), de novo PGNMID appears several years later [1, 2]. A few handful of cases of de novo PGNMID have been reported in the literature (table 1), since Nasr et al (2009) presented his largest series of the native PGNMID [9].</w:t>
      </w:r>
      <w:r>
        <w:rPr>
          <w:rFonts w:asciiTheme="minorBidi" w:eastAsia="Times New Roman" w:hAnsiTheme="minorBidi"/>
          <w:sz w:val="24"/>
          <w:szCs w:val="24"/>
        </w:rPr>
        <w:t xml:space="preserve"> </w:t>
      </w:r>
    </w:p>
    <w:p w:rsidR="00B92944" w:rsidRDefault="00B92944" w:rsidP="00B92944">
      <w:pPr>
        <w:spacing w:after="0" w:line="240" w:lineRule="auto"/>
        <w:jc w:val="both"/>
        <w:rPr>
          <w:rFonts w:asciiTheme="minorBidi" w:eastAsia="Times New Roman" w:hAnsiTheme="minorBidi"/>
          <w:sz w:val="24"/>
          <w:szCs w:val="24"/>
        </w:rPr>
      </w:pPr>
    </w:p>
    <w:p w:rsidR="00B92944" w:rsidRDefault="00B92944" w:rsidP="00B92944">
      <w:pPr>
        <w:shd w:val="clear" w:color="auto" w:fill="D9E2F3" w:themeFill="accent1" w:themeFillTint="33"/>
        <w:spacing w:after="0" w:line="240" w:lineRule="auto"/>
        <w:jc w:val="both"/>
        <w:rPr>
          <w:rFonts w:asciiTheme="minorBidi" w:eastAsia="Times New Roman" w:hAnsiTheme="minorBidi"/>
          <w:u w:val="single"/>
        </w:rPr>
      </w:pPr>
      <w:r>
        <w:rPr>
          <w:rFonts w:asciiTheme="minorBidi" w:eastAsia="Times New Roman" w:hAnsiTheme="minorBidi"/>
          <w:sz w:val="24"/>
          <w:szCs w:val="24"/>
        </w:rPr>
        <w:t>For a period of 30 month follow up of these patients, 38% had complete or partial recovery, 22% developed ESRF, and (38%) of these patients experienced persistent allograft dysfunction. Only 10% of patients expressed low complement level.  No M protein bands were detected, which indicates that PGNMID disease should not be considered a precursor for multiple myeloma development [9]. However, Batal et al (2013) reported that 18% of their patient with native PGNMID disease showed an evidence of low grade lymphoma [10]. Moreover, Barbour et al (2011), also reported two patients with native PGNMID kidney disease with an evidence of chronic lymphocytic lymphoma [11].</w:t>
      </w:r>
      <w:r>
        <w:rPr>
          <w:rFonts w:asciiTheme="minorBidi" w:eastAsia="Times New Roman" w:hAnsiTheme="minorBidi"/>
          <w:u w:val="single"/>
        </w:rPr>
        <w:t xml:space="preserve"> </w:t>
      </w:r>
    </w:p>
    <w:p w:rsidR="00B92944" w:rsidRDefault="00B92944" w:rsidP="00B92944">
      <w:pPr>
        <w:spacing w:after="0" w:line="240" w:lineRule="auto"/>
        <w:jc w:val="both"/>
        <w:rPr>
          <w:rFonts w:asciiTheme="minorBidi" w:eastAsia="Times New Roman" w:hAnsiTheme="minorBidi"/>
          <w:u w:val="single"/>
        </w:rPr>
      </w:pPr>
    </w:p>
    <w:p w:rsidR="00B92944" w:rsidRDefault="00B92944" w:rsidP="00B92944">
      <w:pPr>
        <w:spacing w:after="0" w:line="240" w:lineRule="auto"/>
        <w:jc w:val="both"/>
        <w:rPr>
          <w:rFonts w:asciiTheme="minorBidi" w:eastAsia="Times New Roman" w:hAnsiTheme="minorBidi"/>
          <w:sz w:val="24"/>
          <w:szCs w:val="24"/>
        </w:rPr>
      </w:pPr>
      <w:r w:rsidRPr="00B92944">
        <w:rPr>
          <w:rFonts w:asciiTheme="minorBidi" w:eastAsia="Times New Roman" w:hAnsiTheme="minorBidi"/>
          <w:b/>
          <w:bCs/>
          <w:i/>
          <w:iCs/>
          <w:color w:val="C00000"/>
          <w:sz w:val="26"/>
          <w:szCs w:val="26"/>
        </w:rPr>
        <w:t>Case reports of de novo PGNMID in the literature</w:t>
      </w:r>
      <w:r>
        <w:rPr>
          <w:rFonts w:asciiTheme="minorBidi" w:eastAsia="Times New Roman" w:hAnsiTheme="minorBidi"/>
          <w:i/>
          <w:iCs/>
          <w:sz w:val="24"/>
          <w:szCs w:val="24"/>
        </w:rPr>
        <w:t xml:space="preserve">: </w:t>
      </w:r>
      <w:r>
        <w:rPr>
          <w:rFonts w:asciiTheme="minorBidi" w:eastAsia="Times New Roman" w:hAnsiTheme="minorBidi"/>
          <w:sz w:val="24"/>
          <w:szCs w:val="24"/>
        </w:rPr>
        <w:t>A detailed summary of the case reports of the de novo PGNMID in the literature, as regard age, gender, time elapsed since kidney transplantation, type of the deposited IgG, presence of C1q, native kidney disease, pattern of glomerular injury as well as the presence of monoclonal gammopathy have been shown in table (1) [2, 11- 14].</w:t>
      </w:r>
    </w:p>
    <w:p w:rsidR="00B92944" w:rsidRDefault="00B92944" w:rsidP="00B92944">
      <w:pPr>
        <w:spacing w:after="0" w:line="240" w:lineRule="auto"/>
        <w:jc w:val="both"/>
        <w:rPr>
          <w:rFonts w:asciiTheme="minorBidi" w:eastAsia="Times New Roman" w:hAnsiTheme="minorBidi"/>
          <w:sz w:val="24"/>
          <w:szCs w:val="24"/>
        </w:rPr>
      </w:pPr>
    </w:p>
    <w:p w:rsidR="00B92944" w:rsidRDefault="00B92944" w:rsidP="00B92944">
      <w:pPr>
        <w:spacing w:after="0" w:line="240" w:lineRule="auto"/>
        <w:jc w:val="both"/>
        <w:rPr>
          <w:rFonts w:asciiTheme="minorBidi" w:eastAsia="Times New Roman" w:hAnsiTheme="minorBidi"/>
          <w:sz w:val="16"/>
          <w:szCs w:val="16"/>
        </w:rPr>
      </w:pPr>
    </w:p>
    <w:p w:rsidR="00B92944" w:rsidRDefault="00B92944" w:rsidP="00B92944">
      <w:pPr>
        <w:spacing w:after="0" w:line="240" w:lineRule="auto"/>
        <w:jc w:val="both"/>
        <w:rPr>
          <w:rFonts w:asciiTheme="minorBidi" w:eastAsia="Times New Roman" w:hAnsiTheme="minorBidi"/>
          <w:sz w:val="16"/>
          <w:szCs w:val="16"/>
        </w:rPr>
      </w:pPr>
    </w:p>
    <w:tbl>
      <w:tblPr>
        <w:tblW w:w="9759" w:type="dxa"/>
        <w:jc w:val="center"/>
        <w:tblCellSpacing w:w="15" w:type="dxa"/>
        <w:shd w:val="clear" w:color="auto" w:fill="CCFFFF"/>
        <w:tblLook w:val="04A0" w:firstRow="1" w:lastRow="0" w:firstColumn="1" w:lastColumn="0" w:noHBand="0" w:noVBand="1"/>
      </w:tblPr>
      <w:tblGrid>
        <w:gridCol w:w="496"/>
        <w:gridCol w:w="821"/>
        <w:gridCol w:w="662"/>
        <w:gridCol w:w="808"/>
        <w:gridCol w:w="987"/>
        <w:gridCol w:w="900"/>
        <w:gridCol w:w="1168"/>
        <w:gridCol w:w="1345"/>
        <w:gridCol w:w="1101"/>
        <w:gridCol w:w="1471"/>
      </w:tblGrid>
      <w:tr w:rsidR="00B92944" w:rsidTr="00B92944">
        <w:trPr>
          <w:trHeight w:val="505"/>
          <w:tblCellSpacing w:w="15" w:type="dxa"/>
          <w:jc w:val="center"/>
        </w:trPr>
        <w:tc>
          <w:tcPr>
            <w:tcW w:w="0" w:type="auto"/>
            <w:shd w:val="clear" w:color="auto" w:fill="FFFFFF" w:themeFill="background1"/>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18"/>
                <w:szCs w:val="18"/>
              </w:rPr>
            </w:pPr>
            <w:r>
              <w:rPr>
                <w:rFonts w:asciiTheme="minorBidi" w:eastAsia="Times New Roman" w:hAnsiTheme="minorBidi"/>
                <w:sz w:val="18"/>
                <w:szCs w:val="18"/>
              </w:rPr>
              <w:t>Case</w:t>
            </w:r>
          </w:p>
        </w:tc>
        <w:tc>
          <w:tcPr>
            <w:tcW w:w="791" w:type="dxa"/>
            <w:shd w:val="clear" w:color="auto" w:fill="FFFFFF" w:themeFill="background1"/>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18"/>
                <w:szCs w:val="18"/>
              </w:rPr>
            </w:pPr>
            <w:r>
              <w:rPr>
                <w:rFonts w:asciiTheme="minorBidi" w:eastAsia="Times New Roman" w:hAnsiTheme="minorBidi"/>
                <w:sz w:val="18"/>
                <w:szCs w:val="18"/>
              </w:rPr>
              <w:t>Age at diagnosis</w:t>
            </w:r>
          </w:p>
        </w:tc>
        <w:tc>
          <w:tcPr>
            <w:tcW w:w="633" w:type="dxa"/>
            <w:shd w:val="clear" w:color="auto" w:fill="FFFFFF" w:themeFill="background1"/>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18"/>
                <w:szCs w:val="18"/>
              </w:rPr>
            </w:pPr>
            <w:r>
              <w:rPr>
                <w:rFonts w:asciiTheme="minorBidi" w:eastAsia="Times New Roman" w:hAnsiTheme="minorBidi"/>
                <w:sz w:val="18"/>
                <w:szCs w:val="18"/>
              </w:rPr>
              <w:t>Gender</w:t>
            </w:r>
          </w:p>
        </w:tc>
        <w:tc>
          <w:tcPr>
            <w:tcW w:w="780" w:type="dxa"/>
            <w:shd w:val="clear" w:color="auto" w:fill="FFFFFF" w:themeFill="background1"/>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18"/>
                <w:szCs w:val="18"/>
              </w:rPr>
            </w:pPr>
            <w:r>
              <w:rPr>
                <w:rFonts w:asciiTheme="minorBidi" w:eastAsia="Times New Roman" w:hAnsiTheme="minorBidi"/>
                <w:sz w:val="18"/>
                <w:szCs w:val="18"/>
              </w:rPr>
              <w:t>Onset time (month)</w:t>
            </w:r>
          </w:p>
        </w:tc>
        <w:tc>
          <w:tcPr>
            <w:tcW w:w="960" w:type="dxa"/>
            <w:shd w:val="clear" w:color="auto" w:fill="FFFFFF" w:themeFill="background1"/>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18"/>
                <w:szCs w:val="18"/>
              </w:rPr>
            </w:pPr>
            <w:r>
              <w:rPr>
                <w:rFonts w:asciiTheme="minorBidi" w:eastAsia="Times New Roman" w:hAnsiTheme="minorBidi"/>
                <w:sz w:val="18"/>
                <w:szCs w:val="18"/>
              </w:rPr>
              <w:t>Type of IgG deposits</w:t>
            </w:r>
          </w:p>
        </w:tc>
        <w:tc>
          <w:tcPr>
            <w:tcW w:w="870" w:type="dxa"/>
            <w:shd w:val="clear" w:color="auto" w:fill="FFFFFF" w:themeFill="background1"/>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18"/>
                <w:szCs w:val="18"/>
              </w:rPr>
            </w:pPr>
            <w:r>
              <w:rPr>
                <w:rFonts w:asciiTheme="minorBidi" w:eastAsia="Times New Roman" w:hAnsiTheme="minorBidi"/>
                <w:sz w:val="18"/>
                <w:szCs w:val="18"/>
              </w:rPr>
              <w:t>C1q deposition</w:t>
            </w:r>
          </w:p>
        </w:tc>
        <w:tc>
          <w:tcPr>
            <w:tcW w:w="1140" w:type="dxa"/>
            <w:shd w:val="clear" w:color="auto" w:fill="FFFFFF" w:themeFill="background1"/>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18"/>
                <w:szCs w:val="18"/>
              </w:rPr>
            </w:pPr>
            <w:r>
              <w:rPr>
                <w:rFonts w:asciiTheme="minorBidi" w:eastAsia="Times New Roman" w:hAnsiTheme="minorBidi"/>
                <w:sz w:val="18"/>
                <w:szCs w:val="18"/>
              </w:rPr>
              <w:t>Native kidney disease</w:t>
            </w:r>
          </w:p>
        </w:tc>
        <w:tc>
          <w:tcPr>
            <w:tcW w:w="1320" w:type="dxa"/>
            <w:shd w:val="clear" w:color="auto" w:fill="FFFFFF" w:themeFill="background1"/>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18"/>
                <w:szCs w:val="18"/>
              </w:rPr>
            </w:pPr>
            <w:r>
              <w:rPr>
                <w:rFonts w:asciiTheme="minorBidi" w:eastAsia="Times New Roman" w:hAnsiTheme="minorBidi"/>
                <w:sz w:val="18"/>
                <w:szCs w:val="18"/>
              </w:rPr>
              <w:t>Pattern of glomerular injury</w:t>
            </w:r>
          </w:p>
        </w:tc>
        <w:tc>
          <w:tcPr>
            <w:tcW w:w="1050" w:type="dxa"/>
            <w:shd w:val="clear" w:color="auto" w:fill="FFFFFF" w:themeFill="background1"/>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18"/>
                <w:szCs w:val="18"/>
              </w:rPr>
            </w:pPr>
            <w:r>
              <w:rPr>
                <w:rFonts w:asciiTheme="minorBidi" w:eastAsia="Times New Roman" w:hAnsiTheme="minorBidi"/>
                <w:sz w:val="18"/>
                <w:szCs w:val="18"/>
              </w:rPr>
              <w:t>Monoclonal gammopathy</w:t>
            </w:r>
          </w:p>
        </w:tc>
        <w:tc>
          <w:tcPr>
            <w:tcW w:w="1434" w:type="dxa"/>
            <w:shd w:val="clear" w:color="auto" w:fill="FFFFFF" w:themeFill="background1"/>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b/>
                <w:bCs/>
                <w:sz w:val="18"/>
                <w:szCs w:val="18"/>
              </w:rPr>
            </w:pPr>
            <w:r>
              <w:rPr>
                <w:rFonts w:asciiTheme="minorBidi" w:eastAsia="Times New Roman" w:hAnsiTheme="minorBidi"/>
                <w:b/>
                <w:bCs/>
                <w:sz w:val="18"/>
                <w:szCs w:val="18"/>
              </w:rPr>
              <w:t>Reference</w:t>
            </w:r>
          </w:p>
        </w:tc>
      </w:tr>
      <w:tr w:rsidR="00B92944" w:rsidTr="00B92944">
        <w:trPr>
          <w:trHeight w:val="505"/>
          <w:tblCellSpacing w:w="15" w:type="dxa"/>
          <w:jc w:val="center"/>
        </w:trPr>
        <w:tc>
          <w:tcPr>
            <w:tcW w:w="0" w:type="auto"/>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1</w:t>
            </w:r>
          </w:p>
        </w:tc>
        <w:tc>
          <w:tcPr>
            <w:tcW w:w="791"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24</w:t>
            </w:r>
          </w:p>
        </w:tc>
        <w:tc>
          <w:tcPr>
            <w:tcW w:w="633"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M</w:t>
            </w:r>
          </w:p>
        </w:tc>
        <w:tc>
          <w:tcPr>
            <w:tcW w:w="78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43</w:t>
            </w:r>
          </w:p>
        </w:tc>
        <w:tc>
          <w:tcPr>
            <w:tcW w:w="96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IgG</w:t>
            </w:r>
            <w:r>
              <w:rPr>
                <w:rFonts w:asciiTheme="minorBidi" w:eastAsia="Times New Roman" w:hAnsiTheme="minorBidi"/>
              </w:rPr>
              <w:t>3</w:t>
            </w:r>
            <w:r>
              <w:rPr>
                <w:rFonts w:asciiTheme="minorBidi" w:eastAsia="Times New Roman" w:hAnsiTheme="minorBidi"/>
                <w:sz w:val="28"/>
                <w:szCs w:val="28"/>
              </w:rPr>
              <w:t>κ</w:t>
            </w:r>
          </w:p>
        </w:tc>
        <w:tc>
          <w:tcPr>
            <w:tcW w:w="87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n/a</w:t>
            </w:r>
          </w:p>
        </w:tc>
        <w:tc>
          <w:tcPr>
            <w:tcW w:w="114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T</w:t>
            </w:r>
            <w:r>
              <w:rPr>
                <w:rFonts w:asciiTheme="minorBidi" w:eastAsia="Times New Roman" w:hAnsiTheme="minorBidi"/>
                <w:sz w:val="18"/>
                <w:szCs w:val="18"/>
              </w:rPr>
              <w:t>1</w:t>
            </w:r>
            <w:r>
              <w:rPr>
                <w:rFonts w:asciiTheme="minorBidi" w:eastAsia="Times New Roman" w:hAnsiTheme="minorBidi"/>
                <w:sz w:val="28"/>
                <w:szCs w:val="28"/>
              </w:rPr>
              <w:t>DM</w:t>
            </w:r>
          </w:p>
        </w:tc>
        <w:tc>
          <w:tcPr>
            <w:tcW w:w="132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MPGN</w:t>
            </w:r>
          </w:p>
        </w:tc>
        <w:tc>
          <w:tcPr>
            <w:tcW w:w="105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none</w:t>
            </w:r>
          </w:p>
        </w:tc>
        <w:tc>
          <w:tcPr>
            <w:tcW w:w="1434"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b/>
                <w:bCs/>
                <w:sz w:val="18"/>
                <w:szCs w:val="18"/>
              </w:rPr>
            </w:pPr>
            <w:hyperlink r:id="rId5" w:history="1">
              <w:r>
                <w:rPr>
                  <w:rStyle w:val="Hyperlink"/>
                  <w:rFonts w:asciiTheme="minorBidi" w:eastAsia="Times New Roman" w:hAnsiTheme="minorBidi"/>
                  <w:b/>
                  <w:bCs/>
                  <w:color w:val="auto"/>
                  <w:sz w:val="18"/>
                  <w:szCs w:val="18"/>
                  <w:u w:val="none"/>
                </w:rPr>
                <w:t xml:space="preserve"> Albawardi</w:t>
              </w:r>
            </w:hyperlink>
            <w:r>
              <w:rPr>
                <w:rFonts w:asciiTheme="minorBidi" w:eastAsia="Times New Roman" w:hAnsiTheme="minorBidi"/>
                <w:b/>
                <w:bCs/>
                <w:sz w:val="18"/>
                <w:szCs w:val="18"/>
              </w:rPr>
              <w:t xml:space="preserve"> A et al (2011) [2].</w:t>
            </w:r>
          </w:p>
        </w:tc>
      </w:tr>
      <w:tr w:rsidR="00B92944" w:rsidTr="00B92944">
        <w:trPr>
          <w:trHeight w:val="505"/>
          <w:tblCellSpacing w:w="15" w:type="dxa"/>
          <w:jc w:val="center"/>
        </w:trPr>
        <w:tc>
          <w:tcPr>
            <w:tcW w:w="0" w:type="auto"/>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2</w:t>
            </w:r>
          </w:p>
        </w:tc>
        <w:tc>
          <w:tcPr>
            <w:tcW w:w="791"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68</w:t>
            </w:r>
          </w:p>
        </w:tc>
        <w:tc>
          <w:tcPr>
            <w:tcW w:w="633"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F</w:t>
            </w:r>
          </w:p>
        </w:tc>
        <w:tc>
          <w:tcPr>
            <w:tcW w:w="78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6"/>
                <w:szCs w:val="26"/>
              </w:rPr>
            </w:pPr>
            <w:r>
              <w:rPr>
                <w:rFonts w:asciiTheme="minorBidi" w:eastAsia="Times New Roman" w:hAnsiTheme="minorBidi"/>
                <w:sz w:val="26"/>
                <w:szCs w:val="26"/>
              </w:rPr>
              <w:t>156</w:t>
            </w:r>
          </w:p>
        </w:tc>
        <w:tc>
          <w:tcPr>
            <w:tcW w:w="96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IgG</w:t>
            </w:r>
            <w:r>
              <w:rPr>
                <w:rFonts w:asciiTheme="minorBidi" w:eastAsia="Times New Roman" w:hAnsiTheme="minorBidi"/>
              </w:rPr>
              <w:t>1</w:t>
            </w:r>
            <w:r>
              <w:rPr>
                <w:rFonts w:asciiTheme="minorBidi" w:eastAsia="Times New Roman" w:hAnsiTheme="minorBidi"/>
                <w:sz w:val="28"/>
                <w:szCs w:val="28"/>
              </w:rPr>
              <w:t>κ</w:t>
            </w:r>
          </w:p>
        </w:tc>
        <w:tc>
          <w:tcPr>
            <w:tcW w:w="87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n/a</w:t>
            </w:r>
          </w:p>
        </w:tc>
        <w:tc>
          <w:tcPr>
            <w:tcW w:w="114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PKD</w:t>
            </w:r>
          </w:p>
        </w:tc>
        <w:tc>
          <w:tcPr>
            <w:tcW w:w="132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MPGN</w:t>
            </w:r>
          </w:p>
        </w:tc>
        <w:tc>
          <w:tcPr>
            <w:tcW w:w="105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none</w:t>
            </w:r>
          </w:p>
        </w:tc>
        <w:tc>
          <w:tcPr>
            <w:tcW w:w="1434"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b/>
                <w:bCs/>
                <w:sz w:val="18"/>
                <w:szCs w:val="18"/>
              </w:rPr>
            </w:pPr>
            <w:hyperlink r:id="rId6" w:history="1">
              <w:r>
                <w:rPr>
                  <w:rStyle w:val="Hyperlink"/>
                  <w:rFonts w:asciiTheme="minorBidi" w:eastAsia="Times New Roman" w:hAnsiTheme="minorBidi"/>
                  <w:b/>
                  <w:bCs/>
                  <w:color w:val="auto"/>
                  <w:sz w:val="18"/>
                  <w:szCs w:val="18"/>
                  <w:u w:val="none"/>
                </w:rPr>
                <w:t>Albawardi</w:t>
              </w:r>
            </w:hyperlink>
            <w:r>
              <w:rPr>
                <w:rFonts w:asciiTheme="minorBidi" w:eastAsia="Times New Roman" w:hAnsiTheme="minorBidi"/>
                <w:b/>
                <w:bCs/>
                <w:sz w:val="18"/>
                <w:szCs w:val="18"/>
              </w:rPr>
              <w:t xml:space="preserve"> A et al (2011) [2].</w:t>
            </w:r>
          </w:p>
        </w:tc>
      </w:tr>
      <w:tr w:rsidR="00B92944" w:rsidTr="00B92944">
        <w:trPr>
          <w:trHeight w:val="505"/>
          <w:tblCellSpacing w:w="15" w:type="dxa"/>
          <w:jc w:val="center"/>
        </w:trPr>
        <w:tc>
          <w:tcPr>
            <w:tcW w:w="0" w:type="auto"/>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3</w:t>
            </w:r>
          </w:p>
        </w:tc>
        <w:tc>
          <w:tcPr>
            <w:tcW w:w="791"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tl/>
              </w:rPr>
              <w:t>38</w:t>
            </w:r>
          </w:p>
        </w:tc>
        <w:tc>
          <w:tcPr>
            <w:tcW w:w="633"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F</w:t>
            </w:r>
          </w:p>
        </w:tc>
        <w:tc>
          <w:tcPr>
            <w:tcW w:w="78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6"/>
                <w:szCs w:val="26"/>
              </w:rPr>
            </w:pPr>
            <w:r>
              <w:rPr>
                <w:rFonts w:asciiTheme="minorBidi" w:eastAsia="Times New Roman" w:hAnsiTheme="minorBidi"/>
                <w:sz w:val="28"/>
                <w:szCs w:val="28"/>
              </w:rPr>
              <w:t>72</w:t>
            </w:r>
          </w:p>
        </w:tc>
        <w:tc>
          <w:tcPr>
            <w:tcW w:w="96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IgG</w:t>
            </w:r>
            <w:r>
              <w:rPr>
                <w:rFonts w:asciiTheme="minorBidi" w:eastAsia="Times New Roman" w:hAnsiTheme="minorBidi"/>
              </w:rPr>
              <w:t>3</w:t>
            </w:r>
            <w:r>
              <w:rPr>
                <w:rFonts w:asciiTheme="minorBidi" w:eastAsia="Times New Roman" w:hAnsiTheme="minorBidi"/>
                <w:sz w:val="28"/>
                <w:szCs w:val="28"/>
              </w:rPr>
              <w:t>κ</w:t>
            </w:r>
          </w:p>
        </w:tc>
        <w:tc>
          <w:tcPr>
            <w:tcW w:w="87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1+</w:t>
            </w:r>
          </w:p>
        </w:tc>
        <w:tc>
          <w:tcPr>
            <w:tcW w:w="114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T</w:t>
            </w:r>
            <w:r>
              <w:rPr>
                <w:rFonts w:asciiTheme="minorBidi" w:eastAsia="Times New Roman" w:hAnsiTheme="minorBidi"/>
                <w:sz w:val="18"/>
                <w:szCs w:val="18"/>
              </w:rPr>
              <w:t>1</w:t>
            </w:r>
            <w:r>
              <w:rPr>
                <w:rFonts w:asciiTheme="minorBidi" w:eastAsia="Times New Roman" w:hAnsiTheme="minorBidi"/>
                <w:sz w:val="28"/>
                <w:szCs w:val="28"/>
              </w:rPr>
              <w:t>DM</w:t>
            </w:r>
          </w:p>
        </w:tc>
        <w:tc>
          <w:tcPr>
            <w:tcW w:w="132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MesGN</w:t>
            </w:r>
            <w:r>
              <w:rPr>
                <w:rFonts w:asciiTheme="minorBidi" w:eastAsia="Times New Roman" w:hAnsiTheme="minorBidi"/>
                <w:sz w:val="20"/>
                <w:szCs w:val="20"/>
              </w:rPr>
              <w:t xml:space="preserve"> or </w:t>
            </w:r>
            <w:r>
              <w:rPr>
                <w:rFonts w:asciiTheme="minorBidi" w:eastAsia="Times New Roman" w:hAnsiTheme="minorBidi"/>
                <w:sz w:val="28"/>
                <w:szCs w:val="28"/>
              </w:rPr>
              <w:t>EC</w:t>
            </w:r>
          </w:p>
        </w:tc>
        <w:tc>
          <w:tcPr>
            <w:tcW w:w="105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n/a</w:t>
            </w:r>
          </w:p>
        </w:tc>
        <w:tc>
          <w:tcPr>
            <w:tcW w:w="1434"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b/>
                <w:bCs/>
                <w:sz w:val="18"/>
                <w:szCs w:val="18"/>
              </w:rPr>
            </w:pPr>
            <w:r>
              <w:rPr>
                <w:rFonts w:asciiTheme="minorBidi" w:eastAsia="Times New Roman" w:hAnsiTheme="minorBidi"/>
                <w:b/>
                <w:bCs/>
                <w:sz w:val="16"/>
                <w:szCs w:val="16"/>
              </w:rPr>
              <w:t>Hussain S. M.</w:t>
            </w:r>
            <w:r>
              <w:rPr>
                <w:rFonts w:asciiTheme="minorBidi" w:eastAsia="Times New Roman" w:hAnsiTheme="minorBidi"/>
                <w:b/>
                <w:bCs/>
                <w:sz w:val="18"/>
                <w:szCs w:val="18"/>
              </w:rPr>
              <w:t xml:space="preserve"> et al (2017) [11].</w:t>
            </w:r>
          </w:p>
        </w:tc>
      </w:tr>
      <w:tr w:rsidR="00B92944" w:rsidTr="00B92944">
        <w:trPr>
          <w:trHeight w:val="505"/>
          <w:tblCellSpacing w:w="15" w:type="dxa"/>
          <w:jc w:val="center"/>
        </w:trPr>
        <w:tc>
          <w:tcPr>
            <w:tcW w:w="0" w:type="auto"/>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4</w:t>
            </w:r>
          </w:p>
        </w:tc>
        <w:tc>
          <w:tcPr>
            <w:tcW w:w="791"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61</w:t>
            </w:r>
          </w:p>
        </w:tc>
        <w:tc>
          <w:tcPr>
            <w:tcW w:w="633"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F</w:t>
            </w:r>
          </w:p>
        </w:tc>
        <w:tc>
          <w:tcPr>
            <w:tcW w:w="78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6"/>
                <w:szCs w:val="26"/>
              </w:rPr>
            </w:pPr>
            <w:r>
              <w:rPr>
                <w:rFonts w:asciiTheme="minorBidi" w:eastAsia="Times New Roman" w:hAnsiTheme="minorBidi"/>
                <w:sz w:val="26"/>
                <w:szCs w:val="26"/>
              </w:rPr>
              <w:t>98</w:t>
            </w:r>
          </w:p>
        </w:tc>
        <w:tc>
          <w:tcPr>
            <w:tcW w:w="96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IgG</w:t>
            </w:r>
            <w:r>
              <w:rPr>
                <w:rFonts w:asciiTheme="minorBidi" w:eastAsia="Times New Roman" w:hAnsiTheme="minorBidi"/>
              </w:rPr>
              <w:t>3</w:t>
            </w:r>
            <w:r>
              <w:rPr>
                <w:rFonts w:asciiTheme="minorBidi" w:eastAsia="Times New Roman" w:hAnsiTheme="minorBidi"/>
                <w:sz w:val="28"/>
                <w:szCs w:val="28"/>
              </w:rPr>
              <w:t>κ</w:t>
            </w:r>
          </w:p>
        </w:tc>
        <w:tc>
          <w:tcPr>
            <w:tcW w:w="87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C1q</w:t>
            </w:r>
          </w:p>
        </w:tc>
        <w:tc>
          <w:tcPr>
            <w:tcW w:w="114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MPGN</w:t>
            </w:r>
          </w:p>
        </w:tc>
        <w:tc>
          <w:tcPr>
            <w:tcW w:w="132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EC</w:t>
            </w:r>
          </w:p>
        </w:tc>
        <w:tc>
          <w:tcPr>
            <w:tcW w:w="105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none</w:t>
            </w:r>
          </w:p>
        </w:tc>
        <w:tc>
          <w:tcPr>
            <w:tcW w:w="1434"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b/>
                <w:bCs/>
                <w:sz w:val="18"/>
                <w:szCs w:val="18"/>
              </w:rPr>
            </w:pPr>
            <w:r>
              <w:rPr>
                <w:rFonts w:asciiTheme="minorBidi" w:eastAsia="Times New Roman" w:hAnsiTheme="minorBidi"/>
                <w:b/>
                <w:bCs/>
                <w:sz w:val="18"/>
                <w:szCs w:val="18"/>
              </w:rPr>
              <w:t xml:space="preserve"> </w:t>
            </w:r>
            <w:hyperlink r:id="rId7" w:history="1">
              <w:r>
                <w:rPr>
                  <w:rStyle w:val="Hyperlink"/>
                  <w:rFonts w:asciiTheme="minorBidi" w:eastAsia="Times New Roman" w:hAnsiTheme="minorBidi"/>
                  <w:b/>
                  <w:bCs/>
                  <w:color w:val="auto"/>
                  <w:sz w:val="18"/>
                  <w:szCs w:val="18"/>
                  <w:u w:val="none"/>
                </w:rPr>
                <w:t>Al-Rabadi</w:t>
              </w:r>
            </w:hyperlink>
            <w:r>
              <w:rPr>
                <w:rFonts w:asciiTheme="minorBidi" w:eastAsia="Times New Roman" w:hAnsiTheme="minorBidi"/>
                <w:b/>
                <w:bCs/>
                <w:sz w:val="18"/>
                <w:szCs w:val="18"/>
              </w:rPr>
              <w:t xml:space="preserve"> L et al (2015) [12].</w:t>
            </w:r>
          </w:p>
        </w:tc>
      </w:tr>
      <w:tr w:rsidR="00B92944" w:rsidTr="00B92944">
        <w:trPr>
          <w:trHeight w:val="505"/>
          <w:tblCellSpacing w:w="15" w:type="dxa"/>
          <w:jc w:val="center"/>
        </w:trPr>
        <w:tc>
          <w:tcPr>
            <w:tcW w:w="0" w:type="auto"/>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5</w:t>
            </w:r>
          </w:p>
        </w:tc>
        <w:tc>
          <w:tcPr>
            <w:tcW w:w="791"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40</w:t>
            </w:r>
          </w:p>
        </w:tc>
        <w:tc>
          <w:tcPr>
            <w:tcW w:w="633"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F</w:t>
            </w:r>
          </w:p>
        </w:tc>
        <w:tc>
          <w:tcPr>
            <w:tcW w:w="78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6"/>
                <w:szCs w:val="26"/>
              </w:rPr>
            </w:pPr>
            <w:r>
              <w:rPr>
                <w:rFonts w:asciiTheme="minorBidi" w:eastAsia="Times New Roman" w:hAnsiTheme="minorBidi"/>
                <w:sz w:val="26"/>
                <w:szCs w:val="26"/>
              </w:rPr>
              <w:t>132</w:t>
            </w:r>
          </w:p>
        </w:tc>
        <w:tc>
          <w:tcPr>
            <w:tcW w:w="96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IgG</w:t>
            </w:r>
            <w:r>
              <w:rPr>
                <w:rFonts w:asciiTheme="minorBidi" w:eastAsia="Times New Roman" w:hAnsiTheme="minorBidi"/>
              </w:rPr>
              <w:t>3</w:t>
            </w:r>
            <w:r>
              <w:rPr>
                <w:rFonts w:asciiTheme="minorBidi" w:eastAsia="Times New Roman" w:hAnsiTheme="minorBidi"/>
                <w:sz w:val="28"/>
                <w:szCs w:val="28"/>
              </w:rPr>
              <w:t>κ</w:t>
            </w:r>
          </w:p>
        </w:tc>
        <w:tc>
          <w:tcPr>
            <w:tcW w:w="87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n/a</w:t>
            </w:r>
          </w:p>
        </w:tc>
        <w:tc>
          <w:tcPr>
            <w:tcW w:w="114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MPGN</w:t>
            </w:r>
          </w:p>
        </w:tc>
        <w:tc>
          <w:tcPr>
            <w:tcW w:w="132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MPGN</w:t>
            </w:r>
          </w:p>
        </w:tc>
        <w:tc>
          <w:tcPr>
            <w:tcW w:w="105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none</w:t>
            </w:r>
          </w:p>
        </w:tc>
        <w:tc>
          <w:tcPr>
            <w:tcW w:w="1434"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b/>
                <w:bCs/>
                <w:sz w:val="18"/>
                <w:szCs w:val="18"/>
              </w:rPr>
            </w:pPr>
            <w:hyperlink r:id="rId8" w:history="1">
              <w:r>
                <w:rPr>
                  <w:rStyle w:val="Hyperlink"/>
                  <w:rFonts w:asciiTheme="minorBidi" w:eastAsia="Times New Roman" w:hAnsiTheme="minorBidi"/>
                  <w:b/>
                  <w:bCs/>
                  <w:color w:val="auto"/>
                  <w:sz w:val="18"/>
                  <w:szCs w:val="18"/>
                  <w:u w:val="none"/>
                </w:rPr>
                <w:t>Al-Rabadi</w:t>
              </w:r>
            </w:hyperlink>
            <w:r>
              <w:rPr>
                <w:rFonts w:asciiTheme="minorBidi" w:eastAsia="Times New Roman" w:hAnsiTheme="minorBidi"/>
                <w:b/>
                <w:bCs/>
                <w:sz w:val="18"/>
                <w:szCs w:val="18"/>
              </w:rPr>
              <w:t xml:space="preserve"> L et al (2015) [12].</w:t>
            </w:r>
          </w:p>
        </w:tc>
      </w:tr>
      <w:tr w:rsidR="00B92944" w:rsidTr="00B92944">
        <w:trPr>
          <w:trHeight w:val="536"/>
          <w:tblCellSpacing w:w="15" w:type="dxa"/>
          <w:jc w:val="center"/>
        </w:trPr>
        <w:tc>
          <w:tcPr>
            <w:tcW w:w="0" w:type="auto"/>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6</w:t>
            </w:r>
          </w:p>
        </w:tc>
        <w:tc>
          <w:tcPr>
            <w:tcW w:w="791"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46</w:t>
            </w:r>
          </w:p>
        </w:tc>
        <w:tc>
          <w:tcPr>
            <w:tcW w:w="633"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M</w:t>
            </w:r>
          </w:p>
        </w:tc>
        <w:tc>
          <w:tcPr>
            <w:tcW w:w="78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49</w:t>
            </w:r>
          </w:p>
        </w:tc>
        <w:tc>
          <w:tcPr>
            <w:tcW w:w="96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IgG</w:t>
            </w:r>
            <w:r>
              <w:rPr>
                <w:rFonts w:asciiTheme="minorBidi" w:eastAsia="Times New Roman" w:hAnsiTheme="minorBidi"/>
              </w:rPr>
              <w:t>1</w:t>
            </w:r>
            <w:r>
              <w:rPr>
                <w:rFonts w:asciiTheme="minorBidi" w:eastAsia="Times New Roman" w:hAnsiTheme="minorBidi"/>
                <w:sz w:val="28"/>
                <w:szCs w:val="28"/>
              </w:rPr>
              <w:t>κ</w:t>
            </w:r>
          </w:p>
        </w:tc>
        <w:tc>
          <w:tcPr>
            <w:tcW w:w="87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1+</w:t>
            </w:r>
          </w:p>
        </w:tc>
        <w:tc>
          <w:tcPr>
            <w:tcW w:w="114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FSGS</w:t>
            </w:r>
          </w:p>
        </w:tc>
        <w:tc>
          <w:tcPr>
            <w:tcW w:w="132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lang w:bidi="ar-EG"/>
              </w:rPr>
            </w:pPr>
            <w:r>
              <w:rPr>
                <w:rFonts w:asciiTheme="minorBidi" w:eastAsia="Times New Roman" w:hAnsiTheme="minorBidi"/>
                <w:sz w:val="28"/>
                <w:szCs w:val="28"/>
              </w:rPr>
              <w:t>MesGN</w:t>
            </w:r>
          </w:p>
        </w:tc>
        <w:tc>
          <w:tcPr>
            <w:tcW w:w="105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tl/>
              </w:rPr>
            </w:pPr>
            <w:r>
              <w:rPr>
                <w:rFonts w:asciiTheme="minorBidi" w:eastAsia="Times New Roman" w:hAnsiTheme="minorBidi"/>
                <w:sz w:val="28"/>
                <w:szCs w:val="28"/>
              </w:rPr>
              <w:t>n/a</w:t>
            </w:r>
          </w:p>
        </w:tc>
        <w:tc>
          <w:tcPr>
            <w:tcW w:w="1434"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b/>
                <w:bCs/>
                <w:sz w:val="18"/>
                <w:szCs w:val="18"/>
              </w:rPr>
            </w:pPr>
            <w:r>
              <w:rPr>
                <w:rFonts w:asciiTheme="minorBidi" w:eastAsia="Times New Roman" w:hAnsiTheme="minorBidi"/>
                <w:b/>
                <w:bCs/>
                <w:sz w:val="18"/>
                <w:szCs w:val="18"/>
              </w:rPr>
              <w:t>Tsuji T et al (2017) [13].</w:t>
            </w:r>
          </w:p>
        </w:tc>
      </w:tr>
      <w:tr w:rsidR="00B92944" w:rsidTr="00B92944">
        <w:trPr>
          <w:trHeight w:val="536"/>
          <w:tblCellSpacing w:w="15" w:type="dxa"/>
          <w:jc w:val="center"/>
        </w:trPr>
        <w:tc>
          <w:tcPr>
            <w:tcW w:w="0" w:type="auto"/>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lastRenderedPageBreak/>
              <w:t>7</w:t>
            </w:r>
          </w:p>
        </w:tc>
        <w:tc>
          <w:tcPr>
            <w:tcW w:w="791"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69</w:t>
            </w:r>
          </w:p>
        </w:tc>
        <w:tc>
          <w:tcPr>
            <w:tcW w:w="633"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M</w:t>
            </w:r>
          </w:p>
        </w:tc>
        <w:tc>
          <w:tcPr>
            <w:tcW w:w="78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6</w:t>
            </w:r>
          </w:p>
        </w:tc>
        <w:tc>
          <w:tcPr>
            <w:tcW w:w="96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IgG</w:t>
            </w:r>
            <w:r>
              <w:rPr>
                <w:rFonts w:asciiTheme="minorBidi" w:eastAsia="Times New Roman" w:hAnsiTheme="minorBidi"/>
              </w:rPr>
              <w:t>3</w:t>
            </w:r>
            <w:r>
              <w:rPr>
                <w:rFonts w:asciiTheme="minorBidi" w:eastAsia="Times New Roman" w:hAnsiTheme="minorBidi"/>
                <w:sz w:val="28"/>
                <w:szCs w:val="28"/>
              </w:rPr>
              <w:t>κ</w:t>
            </w:r>
          </w:p>
        </w:tc>
        <w:tc>
          <w:tcPr>
            <w:tcW w:w="87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1+</w:t>
            </w:r>
          </w:p>
        </w:tc>
        <w:tc>
          <w:tcPr>
            <w:tcW w:w="114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0"/>
                <w:szCs w:val="20"/>
              </w:rPr>
            </w:pPr>
            <w:r>
              <w:rPr>
                <w:rFonts w:asciiTheme="minorBidi" w:eastAsia="Times New Roman" w:hAnsiTheme="minorBidi"/>
                <w:sz w:val="20"/>
                <w:szCs w:val="20"/>
              </w:rPr>
              <w:t>Obesity</w:t>
            </w:r>
          </w:p>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4"/>
                <w:szCs w:val="24"/>
              </w:rPr>
              <w:t>(FSGS?)</w:t>
            </w:r>
          </w:p>
        </w:tc>
        <w:tc>
          <w:tcPr>
            <w:tcW w:w="132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MPGN</w:t>
            </w:r>
          </w:p>
        </w:tc>
        <w:tc>
          <w:tcPr>
            <w:tcW w:w="1050" w:type="dxa"/>
            <w:shd w:val="clear" w:color="auto" w:fill="E2EFD9" w:themeFill="accent6" w:themeFillTint="33"/>
            <w:tcMar>
              <w:top w:w="15" w:type="dxa"/>
              <w:left w:w="15" w:type="dxa"/>
              <w:bottom w:w="15" w:type="dxa"/>
              <w:right w:w="15" w:type="dxa"/>
            </w:tcMar>
            <w:vAlign w:val="center"/>
            <w:hideMark/>
          </w:tcPr>
          <w:p w:rsidR="00B92944" w:rsidRDefault="00B92944">
            <w:pPr>
              <w:spacing w:after="0" w:line="240" w:lineRule="auto"/>
              <w:jc w:val="center"/>
              <w:rPr>
                <w:rFonts w:asciiTheme="minorBidi" w:eastAsia="Times New Roman" w:hAnsiTheme="minorBidi"/>
                <w:sz w:val="28"/>
                <w:szCs w:val="28"/>
              </w:rPr>
            </w:pPr>
            <w:r>
              <w:rPr>
                <w:rFonts w:asciiTheme="minorBidi" w:eastAsia="Times New Roman" w:hAnsiTheme="minorBidi"/>
                <w:sz w:val="28"/>
                <w:szCs w:val="28"/>
              </w:rPr>
              <w:t>n/a</w:t>
            </w:r>
          </w:p>
        </w:tc>
        <w:tc>
          <w:tcPr>
            <w:tcW w:w="1434" w:type="dxa"/>
            <w:shd w:val="clear" w:color="auto" w:fill="E2EFD9" w:themeFill="accent6" w:themeFillTint="33"/>
            <w:tcMar>
              <w:top w:w="15" w:type="dxa"/>
              <w:left w:w="15" w:type="dxa"/>
              <w:bottom w:w="15" w:type="dxa"/>
              <w:right w:w="15" w:type="dxa"/>
            </w:tcMar>
            <w:hideMark/>
          </w:tcPr>
          <w:p w:rsidR="00B92944" w:rsidRDefault="00B92944">
            <w:pPr>
              <w:jc w:val="center"/>
              <w:rPr>
                <w:rFonts w:asciiTheme="minorBidi" w:eastAsia="Times New Roman" w:hAnsiTheme="minorBidi"/>
                <w:b/>
                <w:bCs/>
                <w:sz w:val="18"/>
                <w:szCs w:val="18"/>
              </w:rPr>
            </w:pPr>
            <w:hyperlink r:id="rId9" w:history="1">
              <w:r>
                <w:rPr>
                  <w:rStyle w:val="Hyperlink"/>
                  <w:rFonts w:asciiTheme="minorBidi" w:eastAsia="Times New Roman" w:hAnsiTheme="minorBidi"/>
                  <w:b/>
                  <w:bCs/>
                  <w:color w:val="auto"/>
                  <w:sz w:val="18"/>
                  <w:szCs w:val="18"/>
                  <w:u w:val="none"/>
                </w:rPr>
                <w:t>Merhi</w:t>
              </w:r>
            </w:hyperlink>
            <w:r>
              <w:rPr>
                <w:rFonts w:asciiTheme="minorBidi" w:eastAsia="Times New Roman" w:hAnsiTheme="minorBidi"/>
                <w:b/>
                <w:bCs/>
                <w:sz w:val="18"/>
                <w:szCs w:val="18"/>
              </w:rPr>
              <w:t xml:space="preserve"> B. et al (2017) [14]  .</w:t>
            </w:r>
          </w:p>
        </w:tc>
      </w:tr>
    </w:tbl>
    <w:p w:rsidR="00B92944" w:rsidRDefault="00B92944" w:rsidP="00B92944">
      <w:pPr>
        <w:spacing w:after="0" w:line="240" w:lineRule="auto"/>
        <w:jc w:val="both"/>
        <w:rPr>
          <w:rFonts w:asciiTheme="minorBidi" w:eastAsia="Times New Roman" w:hAnsiTheme="minorBidi"/>
          <w:sz w:val="16"/>
          <w:szCs w:val="16"/>
        </w:rPr>
      </w:pPr>
    </w:p>
    <w:p w:rsidR="00B92944" w:rsidRDefault="00B92944" w:rsidP="00B92944">
      <w:pPr>
        <w:spacing w:after="0" w:line="240" w:lineRule="auto"/>
        <w:jc w:val="both"/>
        <w:rPr>
          <w:rFonts w:asciiTheme="minorBidi" w:eastAsia="Times New Roman" w:hAnsiTheme="minorBidi"/>
          <w:u w:val="single"/>
        </w:rPr>
      </w:pPr>
    </w:p>
    <w:p w:rsidR="00B92944" w:rsidRDefault="00B92944" w:rsidP="00B92944">
      <w:pPr>
        <w:pBdr>
          <w:top w:val="single" w:sz="4" w:space="1" w:color="auto"/>
          <w:left w:val="single" w:sz="4" w:space="4" w:color="auto"/>
          <w:bottom w:val="single" w:sz="4" w:space="1" w:color="auto"/>
          <w:right w:val="single" w:sz="4" w:space="4" w:color="auto"/>
        </w:pBdr>
        <w:spacing w:after="0" w:line="240" w:lineRule="auto"/>
        <w:jc w:val="both"/>
        <w:rPr>
          <w:rFonts w:asciiTheme="minorBidi" w:eastAsia="Times New Roman" w:hAnsiTheme="minorBidi"/>
          <w:color w:val="C00000"/>
          <w:sz w:val="16"/>
          <w:szCs w:val="16"/>
          <w:lang w:bidi="ar-EG"/>
        </w:rPr>
      </w:pPr>
      <w:r>
        <w:rPr>
          <w:rFonts w:asciiTheme="minorBidi" w:eastAsia="Times New Roman" w:hAnsiTheme="minorBidi"/>
          <w:sz w:val="16"/>
          <w:szCs w:val="16"/>
        </w:rPr>
        <w:t xml:space="preserve">Table 1. Case reports in the literatures on de novo proliferative GN with monoclonal IgG deposits in renal allografts. </w:t>
      </w:r>
      <w:r>
        <w:rPr>
          <w:rFonts w:asciiTheme="minorBidi" w:eastAsia="Times New Roman" w:hAnsiTheme="minorBidi"/>
          <w:i/>
          <w:iCs/>
          <w:sz w:val="14"/>
          <w:szCs w:val="14"/>
        </w:rPr>
        <w:t>EPGN, endocapillary proliferative glomerulonephritis; FSGS, focal segmental glomerulosclerosis; MesGN, mesangioproliferaitve glomerulonephritis; MPGN, membranoproliferative glomerulonephritis; n/a, not available; PGNMID, proliferative glomerulonephritis with monoclonal IgG deposits; PKD, polycystic kidney disease; T1DM, type 1 DM</w:t>
      </w:r>
      <w:r>
        <w:rPr>
          <w:rFonts w:asciiTheme="minorBidi" w:eastAsia="Times New Roman" w:hAnsiTheme="minorBidi"/>
          <w:i/>
          <w:iCs/>
          <w:color w:val="C00000"/>
          <w:sz w:val="14"/>
          <w:szCs w:val="14"/>
          <w:rtl/>
          <w:lang w:bidi="ar-EG"/>
        </w:rPr>
        <w:t xml:space="preserve">     </w:t>
      </w:r>
      <w:r>
        <w:rPr>
          <w:rFonts w:asciiTheme="minorBidi" w:eastAsia="Times New Roman" w:hAnsiTheme="minorBidi"/>
          <w:i/>
          <w:iCs/>
          <w:sz w:val="14"/>
          <w:szCs w:val="14"/>
        </w:rPr>
        <w:t>EC, endocapillary proliferative</w:t>
      </w:r>
      <w:r>
        <w:rPr>
          <w:rFonts w:asciiTheme="minorBidi" w:eastAsia="Times New Roman" w:hAnsiTheme="minorBidi"/>
          <w:color w:val="C00000"/>
          <w:sz w:val="16"/>
          <w:szCs w:val="16"/>
          <w:rtl/>
          <w:lang w:bidi="ar-EG"/>
        </w:rPr>
        <w:t xml:space="preserve">    </w:t>
      </w:r>
    </w:p>
    <w:p w:rsidR="00B92944" w:rsidRDefault="00B92944" w:rsidP="00B92944">
      <w:pPr>
        <w:spacing w:after="0" w:line="240" w:lineRule="auto"/>
        <w:jc w:val="both"/>
        <w:rPr>
          <w:rFonts w:asciiTheme="minorBidi" w:eastAsia="Times New Roman" w:hAnsiTheme="minorBidi"/>
          <w:u w:val="single"/>
        </w:rPr>
      </w:pPr>
    </w:p>
    <w:p w:rsidR="00B92944" w:rsidRDefault="00B92944" w:rsidP="00B92944">
      <w:pPr>
        <w:spacing w:after="0" w:line="240" w:lineRule="auto"/>
        <w:jc w:val="both"/>
        <w:rPr>
          <w:rFonts w:asciiTheme="minorBidi" w:eastAsia="Times New Roman" w:hAnsiTheme="minorBidi"/>
          <w:sz w:val="16"/>
          <w:szCs w:val="16"/>
        </w:rPr>
      </w:pPr>
    </w:p>
    <w:p w:rsidR="00B92944" w:rsidRDefault="00B92944" w:rsidP="00B92944">
      <w:pPr>
        <w:pBdr>
          <w:top w:val="single" w:sz="4" w:space="1" w:color="auto"/>
          <w:left w:val="single" w:sz="4" w:space="4" w:color="auto"/>
          <w:bottom w:val="single" w:sz="4" w:space="1" w:color="auto"/>
          <w:right w:val="single" w:sz="4" w:space="4" w:color="auto"/>
        </w:pBdr>
        <w:spacing w:after="0" w:line="240" w:lineRule="auto"/>
        <w:jc w:val="both"/>
        <w:rPr>
          <w:rFonts w:asciiTheme="minorBidi" w:eastAsia="Times New Roman" w:hAnsiTheme="minorBidi"/>
          <w:sz w:val="24"/>
          <w:szCs w:val="24"/>
        </w:rPr>
      </w:pPr>
      <w:r w:rsidRPr="00B92944">
        <w:rPr>
          <w:rFonts w:asciiTheme="minorBidi" w:eastAsia="Times New Roman" w:hAnsiTheme="minorBidi"/>
          <w:b/>
          <w:bCs/>
          <w:i/>
          <w:iCs/>
          <w:color w:val="C00000"/>
          <w:sz w:val="26"/>
          <w:szCs w:val="26"/>
        </w:rPr>
        <w:t>Clinical presentation</w:t>
      </w:r>
      <w:r>
        <w:rPr>
          <w:rFonts w:asciiTheme="minorBidi" w:eastAsia="Times New Roman" w:hAnsiTheme="minorBidi"/>
          <w:i/>
          <w:iCs/>
          <w:sz w:val="26"/>
          <w:szCs w:val="26"/>
        </w:rPr>
        <w:t>:</w:t>
      </w:r>
      <w:r>
        <w:rPr>
          <w:rFonts w:asciiTheme="minorBidi" w:eastAsia="Times New Roman" w:hAnsiTheme="minorBidi"/>
          <w:sz w:val="24"/>
          <w:szCs w:val="24"/>
        </w:rPr>
        <w:t xml:space="preserve"> Like recurrent PGNMID, de novo PGNMID usually manifest with an allograft dysfunction associated with a variable degrees of proteinuria with or without hematuria in a white female, the disease generally can be seen in adults above 50 years of age [11,12].  </w:t>
      </w:r>
    </w:p>
    <w:p w:rsidR="00B92944" w:rsidRDefault="00B92944" w:rsidP="00B92944">
      <w:pPr>
        <w:pBdr>
          <w:top w:val="single" w:sz="4" w:space="1" w:color="auto"/>
          <w:left w:val="single" w:sz="4" w:space="4" w:color="auto"/>
          <w:bottom w:val="single" w:sz="4" w:space="1" w:color="auto"/>
          <w:right w:val="single" w:sz="4" w:space="4" w:color="auto"/>
        </w:pBdr>
        <w:spacing w:after="0" w:line="240" w:lineRule="auto"/>
        <w:jc w:val="both"/>
        <w:rPr>
          <w:rFonts w:asciiTheme="minorBidi" w:eastAsia="Times New Roman" w:hAnsiTheme="minorBidi"/>
          <w:sz w:val="24"/>
          <w:szCs w:val="24"/>
        </w:rPr>
      </w:pPr>
    </w:p>
    <w:p w:rsidR="00B92944" w:rsidRDefault="00B92944" w:rsidP="00B92944">
      <w:pPr>
        <w:spacing w:after="0" w:line="240" w:lineRule="auto"/>
        <w:jc w:val="both"/>
        <w:rPr>
          <w:rFonts w:asciiTheme="minorBidi" w:eastAsia="Times New Roman" w:hAnsiTheme="minorBidi"/>
          <w:i/>
          <w:iCs/>
          <w:sz w:val="26"/>
          <w:szCs w:val="26"/>
        </w:rPr>
      </w:pPr>
    </w:p>
    <w:p w:rsidR="00B92944" w:rsidRDefault="00B92944" w:rsidP="00B92944">
      <w:pPr>
        <w:spacing w:after="0" w:line="240" w:lineRule="auto"/>
        <w:jc w:val="both"/>
        <w:rPr>
          <w:rFonts w:asciiTheme="minorBidi" w:eastAsia="Times New Roman" w:hAnsiTheme="minorBidi"/>
          <w:i/>
          <w:iCs/>
          <w:sz w:val="26"/>
          <w:szCs w:val="26"/>
        </w:rPr>
      </w:pPr>
    </w:p>
    <w:p w:rsidR="00B92944" w:rsidRDefault="00B92944" w:rsidP="00B92944">
      <w:pPr>
        <w:pBdr>
          <w:top w:val="single" w:sz="4" w:space="1" w:color="auto"/>
          <w:left w:val="single" w:sz="4" w:space="4" w:color="auto"/>
          <w:bottom w:val="single" w:sz="4" w:space="1" w:color="auto"/>
          <w:right w:val="single" w:sz="4" w:space="4" w:color="auto"/>
        </w:pBdr>
        <w:spacing w:after="0" w:line="240" w:lineRule="auto"/>
        <w:jc w:val="both"/>
        <w:rPr>
          <w:rFonts w:asciiTheme="minorBidi" w:eastAsia="Times New Roman" w:hAnsiTheme="minorBidi"/>
          <w:sz w:val="24"/>
          <w:szCs w:val="24"/>
          <w:rtl/>
        </w:rPr>
      </w:pPr>
      <w:r w:rsidRPr="00B92944">
        <w:rPr>
          <w:rFonts w:asciiTheme="minorBidi" w:eastAsia="Times New Roman" w:hAnsiTheme="minorBidi"/>
          <w:b/>
          <w:bCs/>
          <w:i/>
          <w:iCs/>
          <w:color w:val="C00000"/>
          <w:sz w:val="26"/>
          <w:szCs w:val="26"/>
          <w:u w:val="single"/>
        </w:rPr>
        <w:t>Pathogenesis</w:t>
      </w:r>
      <w:r>
        <w:rPr>
          <w:rFonts w:asciiTheme="minorBidi" w:eastAsia="Times New Roman" w:hAnsiTheme="minorBidi"/>
          <w:i/>
          <w:iCs/>
          <w:sz w:val="26"/>
          <w:szCs w:val="26"/>
        </w:rPr>
        <w:t>:</w:t>
      </w:r>
      <w:r>
        <w:rPr>
          <w:rFonts w:asciiTheme="minorBidi" w:eastAsia="Times New Roman" w:hAnsiTheme="minorBidi"/>
          <w:sz w:val="26"/>
          <w:szCs w:val="26"/>
        </w:rPr>
        <w:t xml:space="preserve"> </w:t>
      </w:r>
      <w:r>
        <w:rPr>
          <w:rFonts w:asciiTheme="minorBidi" w:eastAsia="Times New Roman" w:hAnsiTheme="minorBidi"/>
          <w:sz w:val="24"/>
          <w:szCs w:val="24"/>
        </w:rPr>
        <w:t>PGNMID pathogenesis is not clear. However, the reported recurrence of this disease suggests the presence of a circulating factor in RTR [11]. Other reports suggest deposition of a circulating non-deleted monoclonal IgG in the glomeruli, followed by complement fixation with outburst of inflammatory mediators [15]. A variety of intrinsic and extrinsic antigens would cause glomerular injury through stimulation of B-cell clones with subsequent production of the monoclonal IgG, particularly IgG3 subtype (8% of the total IgG). The latter is rapidly absorbed by the glomeruli so that it cannot be detected by immunofixation. Three criteria have been postulated to increase the avidity of IgG3 to glomerular deposition:</w:t>
      </w:r>
    </w:p>
    <w:p w:rsidR="00B92944" w:rsidRDefault="00B92944" w:rsidP="00B92944">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CCFF"/>
        <w:spacing w:after="0" w:line="240" w:lineRule="auto"/>
        <w:jc w:val="both"/>
        <w:rPr>
          <w:rFonts w:asciiTheme="minorBidi" w:eastAsia="Times New Roman" w:hAnsiTheme="minorBidi"/>
          <w:sz w:val="24"/>
          <w:szCs w:val="24"/>
        </w:rPr>
      </w:pPr>
      <w:r>
        <w:rPr>
          <w:rFonts w:asciiTheme="minorBidi" w:eastAsia="Times New Roman" w:hAnsiTheme="minorBidi"/>
          <w:sz w:val="24"/>
          <w:szCs w:val="24"/>
        </w:rPr>
        <w:t>Positively charged nature.</w:t>
      </w:r>
    </w:p>
    <w:p w:rsidR="00B92944" w:rsidRDefault="00B92944" w:rsidP="00B92944">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CCFF"/>
        <w:spacing w:after="0" w:line="240" w:lineRule="auto"/>
        <w:jc w:val="both"/>
        <w:rPr>
          <w:rFonts w:asciiTheme="minorBidi" w:eastAsia="Times New Roman" w:hAnsiTheme="minorBidi"/>
          <w:sz w:val="24"/>
          <w:szCs w:val="24"/>
        </w:rPr>
      </w:pPr>
      <w:r>
        <w:rPr>
          <w:rFonts w:asciiTheme="minorBidi" w:eastAsia="Times New Roman" w:hAnsiTheme="minorBidi"/>
          <w:sz w:val="24"/>
          <w:szCs w:val="24"/>
        </w:rPr>
        <w:t>The heaviest molecular weight, and</w:t>
      </w:r>
    </w:p>
    <w:p w:rsidR="00B92944" w:rsidRDefault="00B92944" w:rsidP="00B92944">
      <w:pPr>
        <w:pStyle w:val="ListParagraph"/>
        <w:numPr>
          <w:ilvl w:val="0"/>
          <w:numId w:val="1"/>
        </w:numPr>
        <w:pBdr>
          <w:top w:val="single" w:sz="4" w:space="1" w:color="auto"/>
          <w:left w:val="single" w:sz="4" w:space="4" w:color="auto"/>
          <w:bottom w:val="single" w:sz="4" w:space="1" w:color="auto"/>
          <w:right w:val="single" w:sz="4" w:space="4" w:color="auto"/>
        </w:pBdr>
        <w:shd w:val="clear" w:color="auto" w:fill="FFCCFF"/>
        <w:spacing w:after="0" w:line="240" w:lineRule="auto"/>
        <w:jc w:val="both"/>
        <w:rPr>
          <w:rFonts w:asciiTheme="minorBidi" w:eastAsia="Times New Roman" w:hAnsiTheme="minorBidi"/>
          <w:sz w:val="24"/>
          <w:szCs w:val="24"/>
        </w:rPr>
      </w:pPr>
      <w:r>
        <w:rPr>
          <w:rFonts w:asciiTheme="minorBidi" w:eastAsia="Times New Roman" w:hAnsiTheme="minorBidi"/>
          <w:sz w:val="24"/>
          <w:szCs w:val="24"/>
        </w:rPr>
        <w:t>The greatest complement fixing capacity.</w:t>
      </w:r>
    </w:p>
    <w:p w:rsidR="00B92944" w:rsidRDefault="00B92944" w:rsidP="00B92944">
      <w:pPr>
        <w:pBdr>
          <w:top w:val="single" w:sz="4" w:space="1" w:color="auto"/>
          <w:left w:val="single" w:sz="4" w:space="4" w:color="auto"/>
          <w:bottom w:val="single" w:sz="4" w:space="1" w:color="auto"/>
          <w:right w:val="single" w:sz="4" w:space="4" w:color="auto"/>
        </w:pBdr>
        <w:spacing w:after="0" w:line="240" w:lineRule="auto"/>
        <w:jc w:val="both"/>
        <w:rPr>
          <w:rFonts w:asciiTheme="minorBidi" w:eastAsia="Times New Roman" w:hAnsiTheme="minorBidi"/>
          <w:sz w:val="24"/>
          <w:szCs w:val="24"/>
        </w:rPr>
      </w:pPr>
      <w:r>
        <w:rPr>
          <w:rFonts w:asciiTheme="minorBidi" w:eastAsia="Times New Roman" w:hAnsiTheme="minorBidi"/>
          <w:sz w:val="24"/>
          <w:szCs w:val="24"/>
        </w:rPr>
        <w:t xml:space="preserve">So, these criteria would augment the affinity of IgG3 to the negatively charged glomerular elements, making it </w:t>
      </w:r>
      <w:r>
        <w:rPr>
          <w:rFonts w:asciiTheme="minorBidi" w:eastAsia="Times New Roman" w:hAnsiTheme="minorBidi"/>
          <w:i/>
          <w:iCs/>
          <w:sz w:val="24"/>
          <w:szCs w:val="24"/>
        </w:rPr>
        <w:t>highly nephritogenic</w:t>
      </w:r>
      <w:r>
        <w:rPr>
          <w:rFonts w:asciiTheme="minorBidi" w:eastAsia="Times New Roman" w:hAnsiTheme="minorBidi"/>
          <w:sz w:val="24"/>
          <w:szCs w:val="24"/>
        </w:rPr>
        <w:t xml:space="preserve"> [1]</w:t>
      </w:r>
      <w:r>
        <w:rPr>
          <w:rFonts w:asciiTheme="minorBidi" w:eastAsia="Times New Roman" w:hAnsiTheme="minorBidi"/>
          <w:sz w:val="16"/>
          <w:szCs w:val="16"/>
        </w:rPr>
        <w:t xml:space="preserve"> </w:t>
      </w:r>
      <w:r>
        <w:rPr>
          <w:rFonts w:asciiTheme="minorBidi" w:eastAsia="Times New Roman" w:hAnsiTheme="minorBidi"/>
          <w:sz w:val="24"/>
          <w:szCs w:val="24"/>
        </w:rPr>
        <w:t>.</w:t>
      </w:r>
    </w:p>
    <w:p w:rsidR="00B92944" w:rsidRDefault="00B92944" w:rsidP="00B92944">
      <w:pPr>
        <w:pBdr>
          <w:top w:val="single" w:sz="4" w:space="1" w:color="auto"/>
          <w:left w:val="single" w:sz="4" w:space="4" w:color="auto"/>
          <w:bottom w:val="single" w:sz="4" w:space="1" w:color="auto"/>
          <w:right w:val="single" w:sz="4" w:space="4" w:color="auto"/>
        </w:pBdr>
        <w:spacing w:after="0" w:line="240" w:lineRule="auto"/>
        <w:jc w:val="both"/>
        <w:rPr>
          <w:rFonts w:asciiTheme="minorBidi" w:eastAsia="Times New Roman" w:hAnsiTheme="minorBidi"/>
          <w:sz w:val="24"/>
          <w:szCs w:val="24"/>
        </w:rPr>
      </w:pPr>
    </w:p>
    <w:p w:rsidR="00B92944" w:rsidRDefault="00B92944" w:rsidP="00B92944">
      <w:pPr>
        <w:spacing w:after="0" w:line="240" w:lineRule="auto"/>
        <w:jc w:val="both"/>
        <w:rPr>
          <w:rFonts w:asciiTheme="minorBidi" w:eastAsia="Times New Roman" w:hAnsiTheme="minorBidi"/>
          <w:i/>
          <w:iCs/>
          <w:sz w:val="26"/>
          <w:szCs w:val="26"/>
        </w:rPr>
      </w:pPr>
    </w:p>
    <w:p w:rsidR="00B92944" w:rsidRDefault="00B92944" w:rsidP="00B92944">
      <w:pPr>
        <w:spacing w:after="0" w:line="240" w:lineRule="auto"/>
        <w:jc w:val="both"/>
        <w:rPr>
          <w:rFonts w:asciiTheme="minorBidi" w:eastAsia="Times New Roman" w:hAnsiTheme="minorBidi"/>
          <w:i/>
          <w:iCs/>
          <w:sz w:val="26"/>
          <w:szCs w:val="26"/>
        </w:rPr>
      </w:pPr>
    </w:p>
    <w:p w:rsidR="00B92944" w:rsidRDefault="00B92944" w:rsidP="00B92944">
      <w:pPr>
        <w:pBdr>
          <w:top w:val="single" w:sz="4" w:space="1" w:color="auto"/>
          <w:left w:val="single" w:sz="4" w:space="4" w:color="auto"/>
          <w:bottom w:val="single" w:sz="4" w:space="1" w:color="auto"/>
          <w:right w:val="single" w:sz="4" w:space="4" w:color="auto"/>
        </w:pBdr>
        <w:shd w:val="clear" w:color="auto" w:fill="DEEAF6" w:themeFill="accent5" w:themeFillTint="33"/>
        <w:spacing w:after="0" w:line="240" w:lineRule="auto"/>
        <w:jc w:val="both"/>
        <w:rPr>
          <w:rFonts w:asciiTheme="minorBidi" w:eastAsia="Times New Roman" w:hAnsiTheme="minorBidi"/>
        </w:rPr>
      </w:pPr>
      <w:r w:rsidRPr="00B92944">
        <w:rPr>
          <w:rFonts w:asciiTheme="minorBidi" w:eastAsia="Times New Roman" w:hAnsiTheme="minorBidi"/>
          <w:b/>
          <w:bCs/>
          <w:i/>
          <w:iCs/>
          <w:color w:val="C00000"/>
          <w:sz w:val="26"/>
          <w:szCs w:val="26"/>
        </w:rPr>
        <w:t>Histopathology</w:t>
      </w:r>
      <w:r>
        <w:rPr>
          <w:rFonts w:asciiTheme="minorBidi" w:eastAsia="Times New Roman" w:hAnsiTheme="minorBidi"/>
          <w:sz w:val="24"/>
          <w:szCs w:val="24"/>
        </w:rPr>
        <w:t>: LM usually show mesangioproliferative or endocapillary GN. EM shows prominent granular mesangial and subendothelial electron dense deposits (EDD) (figure 1) [12]. Finally, IF study could ultimately establish the PGNMID diagnosis. A positive staining of one of the monoclonal IgG subtypes, with IgG3 being the most common and either kappa (most common) or the less common lambda subtype, strictly and exclusively in the glomerular constituents. C1q and complement 3 may be positive denoting complement activation (figure 2, 3) [12].</w:t>
      </w:r>
    </w:p>
    <w:p w:rsidR="00B92944" w:rsidRDefault="00B92944" w:rsidP="00B92944">
      <w:pPr>
        <w:pBdr>
          <w:top w:val="single" w:sz="4" w:space="1" w:color="auto"/>
          <w:left w:val="single" w:sz="4" w:space="4" w:color="auto"/>
          <w:bottom w:val="single" w:sz="4" w:space="1" w:color="auto"/>
          <w:right w:val="single" w:sz="4" w:space="4" w:color="auto"/>
        </w:pBdr>
        <w:shd w:val="clear" w:color="auto" w:fill="DEEAF6" w:themeFill="accent5" w:themeFillTint="33"/>
        <w:spacing w:after="0" w:line="240" w:lineRule="auto"/>
        <w:jc w:val="both"/>
        <w:rPr>
          <w:rFonts w:asciiTheme="minorBidi" w:eastAsia="Times New Roman" w:hAnsiTheme="minorBidi"/>
        </w:rPr>
      </w:pPr>
    </w:p>
    <w:p w:rsidR="00B92944" w:rsidRDefault="00B92944" w:rsidP="00B92944">
      <w:pPr>
        <w:spacing w:after="0" w:line="240" w:lineRule="auto"/>
        <w:jc w:val="center"/>
      </w:pPr>
      <w:r>
        <w:rPr>
          <w:noProof/>
        </w:rPr>
        <w:lastRenderedPageBreak/>
        <w:drawing>
          <wp:inline distT="0" distB="0" distL="0" distR="0">
            <wp:extent cx="4203700" cy="314579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203700" cy="3145790"/>
                    </a:xfrm>
                    <a:prstGeom prst="rect">
                      <a:avLst/>
                    </a:prstGeom>
                    <a:noFill/>
                    <a:ln>
                      <a:noFill/>
                    </a:ln>
                  </pic:spPr>
                </pic:pic>
              </a:graphicData>
            </a:graphic>
          </wp:inline>
        </w:drawing>
      </w:r>
    </w:p>
    <w:p w:rsidR="00B92944" w:rsidRDefault="00B92944" w:rsidP="00B92944">
      <w:pPr>
        <w:spacing w:after="0" w:line="240" w:lineRule="auto"/>
        <w:jc w:val="both"/>
      </w:pPr>
    </w:p>
    <w:p w:rsidR="00B92944" w:rsidRDefault="00B92944" w:rsidP="00B92944">
      <w:pPr>
        <w:pBdr>
          <w:top w:val="single" w:sz="4" w:space="1" w:color="auto"/>
          <w:left w:val="single" w:sz="4" w:space="4" w:color="auto"/>
          <w:bottom w:val="single" w:sz="4" w:space="1" w:color="auto"/>
          <w:right w:val="single" w:sz="4" w:space="4" w:color="auto"/>
        </w:pBdr>
        <w:spacing w:after="0" w:line="240" w:lineRule="auto"/>
        <w:jc w:val="both"/>
        <w:rPr>
          <w:rFonts w:asciiTheme="minorBidi" w:eastAsia="Times New Roman" w:hAnsiTheme="minorBidi"/>
          <w:sz w:val="16"/>
          <w:szCs w:val="16"/>
        </w:rPr>
      </w:pPr>
      <w:r>
        <w:rPr>
          <w:rFonts w:asciiTheme="minorBidi" w:eastAsia="Times New Roman" w:hAnsiTheme="minorBidi"/>
          <w:sz w:val="16"/>
          <w:szCs w:val="16"/>
        </w:rPr>
        <w:t xml:space="preserve">Fig. 1: Glomerular capillaries are greatly distorted and thickened by the presence of numerous, sometimes large and/or confluent subendothelial electron-dense deposits. The electron-dense deposits have a variegated (‘two-toned’) appearance and are finely granular, but they do not show organized substructures.  (Adapted from: </w:t>
      </w:r>
      <w:hyperlink r:id="rId11" w:history="1">
        <w:r>
          <w:rPr>
            <w:rStyle w:val="Hyperlink"/>
            <w:rFonts w:asciiTheme="minorBidi" w:eastAsia="Times New Roman" w:hAnsiTheme="minorBidi"/>
            <w:color w:val="auto"/>
            <w:sz w:val="16"/>
            <w:szCs w:val="16"/>
            <w:u w:val="none"/>
          </w:rPr>
          <w:t xml:space="preserve"> Al-Rabadi</w:t>
        </w:r>
      </w:hyperlink>
      <w:r>
        <w:rPr>
          <w:rFonts w:asciiTheme="minorBidi" w:eastAsia="Times New Roman" w:hAnsiTheme="minorBidi"/>
          <w:sz w:val="16"/>
          <w:szCs w:val="16"/>
        </w:rPr>
        <w:t xml:space="preserve"> L et al, (2015), (open access) [12] ).</w:t>
      </w:r>
    </w:p>
    <w:p w:rsidR="00B92944" w:rsidRDefault="00B92944" w:rsidP="00B92944">
      <w:pPr>
        <w:spacing w:after="0" w:line="240" w:lineRule="auto"/>
        <w:jc w:val="both"/>
        <w:rPr>
          <w:rFonts w:asciiTheme="minorBidi" w:eastAsia="Times New Roman" w:hAnsiTheme="minorBidi"/>
          <w:sz w:val="24"/>
          <w:szCs w:val="24"/>
        </w:rPr>
      </w:pPr>
    </w:p>
    <w:p w:rsidR="00B92944" w:rsidRDefault="00B92944" w:rsidP="00B92944">
      <w:pPr>
        <w:spacing w:after="0" w:line="240" w:lineRule="auto"/>
        <w:jc w:val="center"/>
        <w:rPr>
          <w:rFonts w:asciiTheme="minorBidi" w:eastAsia="Times New Roman" w:hAnsiTheme="minorBidi"/>
          <w:sz w:val="24"/>
          <w:szCs w:val="24"/>
        </w:rPr>
      </w:pPr>
      <w:r>
        <w:rPr>
          <w:noProof/>
        </w:rPr>
        <w:drawing>
          <wp:inline distT="0" distB="0" distL="0" distR="0">
            <wp:extent cx="3773805" cy="35826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73805" cy="3582670"/>
                    </a:xfrm>
                    <a:prstGeom prst="rect">
                      <a:avLst/>
                    </a:prstGeom>
                    <a:noFill/>
                    <a:ln>
                      <a:noFill/>
                    </a:ln>
                  </pic:spPr>
                </pic:pic>
              </a:graphicData>
            </a:graphic>
          </wp:inline>
        </w:drawing>
      </w:r>
    </w:p>
    <w:p w:rsidR="00B92944" w:rsidRDefault="00B92944" w:rsidP="00B92944">
      <w:pPr>
        <w:spacing w:after="0" w:line="240" w:lineRule="auto"/>
        <w:jc w:val="both"/>
        <w:rPr>
          <w:rFonts w:asciiTheme="minorBidi" w:eastAsia="Times New Roman" w:hAnsiTheme="minorBidi"/>
          <w:sz w:val="24"/>
          <w:szCs w:val="24"/>
        </w:rPr>
      </w:pPr>
      <w:r>
        <w:t xml:space="preserve"> </w:t>
      </w:r>
    </w:p>
    <w:p w:rsidR="00B92944" w:rsidRDefault="00B92944" w:rsidP="00B92944">
      <w:pPr>
        <w:pBdr>
          <w:top w:val="single" w:sz="4" w:space="1" w:color="auto"/>
          <w:left w:val="single" w:sz="4" w:space="4" w:color="auto"/>
          <w:bottom w:val="single" w:sz="4" w:space="1" w:color="auto"/>
          <w:right w:val="single" w:sz="4" w:space="4" w:color="auto"/>
        </w:pBdr>
        <w:spacing w:after="0" w:line="240" w:lineRule="auto"/>
        <w:jc w:val="both"/>
        <w:rPr>
          <w:rFonts w:asciiTheme="minorBidi" w:eastAsia="Times New Roman" w:hAnsiTheme="minorBidi"/>
          <w:sz w:val="16"/>
          <w:szCs w:val="16"/>
        </w:rPr>
      </w:pPr>
      <w:r>
        <w:rPr>
          <w:rFonts w:asciiTheme="minorBidi" w:eastAsia="Times New Roman" w:hAnsiTheme="minorBidi"/>
          <w:sz w:val="16"/>
          <w:szCs w:val="16"/>
        </w:rPr>
        <w:t xml:space="preserve">Fig. 2. Diffuse </w:t>
      </w:r>
      <w:r>
        <w:rPr>
          <w:rFonts w:asciiTheme="minorBidi" w:eastAsia="Times New Roman" w:hAnsiTheme="minorBidi"/>
          <w:i/>
          <w:iCs/>
          <w:sz w:val="16"/>
          <w:szCs w:val="16"/>
        </w:rPr>
        <w:t>irregular granular</w:t>
      </w:r>
      <w:r>
        <w:rPr>
          <w:rFonts w:asciiTheme="minorBidi" w:eastAsia="Times New Roman" w:hAnsiTheme="minorBidi"/>
          <w:sz w:val="16"/>
          <w:szCs w:val="16"/>
        </w:rPr>
        <w:t xml:space="preserve"> and </w:t>
      </w:r>
      <w:r>
        <w:rPr>
          <w:rFonts w:asciiTheme="minorBidi" w:eastAsia="Times New Roman" w:hAnsiTheme="minorBidi"/>
          <w:i/>
          <w:iCs/>
          <w:sz w:val="16"/>
          <w:szCs w:val="16"/>
        </w:rPr>
        <w:t>pseudolinear deposition</w:t>
      </w:r>
      <w:r>
        <w:rPr>
          <w:rFonts w:asciiTheme="minorBidi" w:eastAsia="Times New Roman" w:hAnsiTheme="minorBidi"/>
          <w:sz w:val="16"/>
          <w:szCs w:val="16"/>
        </w:rPr>
        <w:t xml:space="preserve"> of IgG (3+/4+). No staining is found in Bowman's capsule or the tubular BM (Adapted from:  </w:t>
      </w:r>
      <w:hyperlink r:id="rId13" w:history="1">
        <w:r>
          <w:rPr>
            <w:rStyle w:val="Hyperlink"/>
            <w:rFonts w:asciiTheme="minorBidi" w:eastAsia="Times New Roman" w:hAnsiTheme="minorBidi"/>
            <w:color w:val="auto"/>
            <w:sz w:val="16"/>
            <w:szCs w:val="16"/>
            <w:u w:val="none"/>
          </w:rPr>
          <w:t>Al-Rabadi</w:t>
        </w:r>
      </w:hyperlink>
      <w:r>
        <w:rPr>
          <w:rFonts w:asciiTheme="minorBidi" w:eastAsia="Times New Roman" w:hAnsiTheme="minorBidi"/>
          <w:sz w:val="16"/>
          <w:szCs w:val="16"/>
        </w:rPr>
        <w:t xml:space="preserve"> L et al (2015), (open access) [12]).</w:t>
      </w:r>
    </w:p>
    <w:p w:rsidR="00B92944" w:rsidRDefault="00B92944" w:rsidP="00B92944">
      <w:pPr>
        <w:tabs>
          <w:tab w:val="left" w:pos="7028"/>
        </w:tabs>
        <w:jc w:val="both"/>
        <w:rPr>
          <w:rFonts w:asciiTheme="minorBidi" w:eastAsia="Times New Roman" w:hAnsiTheme="minorBidi"/>
          <w:sz w:val="16"/>
          <w:szCs w:val="16"/>
        </w:rPr>
      </w:pPr>
      <w:r>
        <w:rPr>
          <w:rFonts w:asciiTheme="minorBidi" w:eastAsia="Times New Roman" w:hAnsiTheme="minorBidi"/>
          <w:sz w:val="16"/>
          <w:szCs w:val="16"/>
        </w:rPr>
        <w:tab/>
      </w:r>
    </w:p>
    <w:p w:rsidR="00B92944" w:rsidRDefault="00B92944" w:rsidP="00B92944">
      <w:pPr>
        <w:spacing w:after="0" w:line="240" w:lineRule="auto"/>
        <w:jc w:val="center"/>
        <w:rPr>
          <w:rFonts w:asciiTheme="minorBidi" w:eastAsia="Times New Roman" w:hAnsiTheme="minorBidi"/>
          <w:sz w:val="24"/>
          <w:szCs w:val="24"/>
        </w:rPr>
      </w:pPr>
      <w:r>
        <w:rPr>
          <w:noProof/>
        </w:rPr>
        <w:lastRenderedPageBreak/>
        <w:drawing>
          <wp:inline distT="0" distB="0" distL="0" distR="0">
            <wp:extent cx="6032500" cy="3432175"/>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32500" cy="3432175"/>
                    </a:xfrm>
                    <a:prstGeom prst="rect">
                      <a:avLst/>
                    </a:prstGeom>
                    <a:noFill/>
                    <a:ln>
                      <a:noFill/>
                    </a:ln>
                  </pic:spPr>
                </pic:pic>
              </a:graphicData>
            </a:graphic>
          </wp:inline>
        </w:drawing>
      </w:r>
    </w:p>
    <w:p w:rsidR="00B92944" w:rsidRDefault="00B92944" w:rsidP="00B92944">
      <w:pPr>
        <w:spacing w:after="0" w:line="240" w:lineRule="auto"/>
        <w:jc w:val="both"/>
        <w:rPr>
          <w:rFonts w:asciiTheme="minorBidi" w:eastAsia="Times New Roman" w:hAnsiTheme="minorBidi"/>
          <w:sz w:val="24"/>
          <w:szCs w:val="24"/>
        </w:rPr>
      </w:pPr>
    </w:p>
    <w:p w:rsidR="00B92944" w:rsidRDefault="00B92944" w:rsidP="00B92944">
      <w:pPr>
        <w:spacing w:after="0" w:line="240" w:lineRule="auto"/>
        <w:jc w:val="both"/>
        <w:rPr>
          <w:rFonts w:asciiTheme="minorBidi" w:eastAsia="Times New Roman" w:hAnsiTheme="minorBidi"/>
          <w:sz w:val="24"/>
          <w:szCs w:val="24"/>
        </w:rPr>
      </w:pPr>
      <w:r>
        <w:t xml:space="preserve"> </w:t>
      </w:r>
    </w:p>
    <w:p w:rsidR="00B92944" w:rsidRDefault="00B92944" w:rsidP="00B92944">
      <w:pPr>
        <w:pBdr>
          <w:top w:val="single" w:sz="4" w:space="1" w:color="auto"/>
          <w:left w:val="single" w:sz="4" w:space="4" w:color="auto"/>
          <w:bottom w:val="single" w:sz="4" w:space="1" w:color="auto"/>
          <w:right w:val="single" w:sz="4" w:space="4" w:color="auto"/>
        </w:pBdr>
        <w:spacing w:after="0" w:line="240" w:lineRule="auto"/>
        <w:jc w:val="both"/>
        <w:rPr>
          <w:rFonts w:asciiTheme="minorBidi" w:eastAsia="Times New Roman" w:hAnsiTheme="minorBidi"/>
          <w:sz w:val="16"/>
          <w:szCs w:val="16"/>
        </w:rPr>
      </w:pPr>
      <w:r>
        <w:rPr>
          <w:rFonts w:asciiTheme="minorBidi" w:eastAsia="Times New Roman" w:hAnsiTheme="minorBidi"/>
          <w:sz w:val="16"/>
          <w:szCs w:val="16"/>
        </w:rPr>
        <w:t xml:space="preserve">Fig. 3. Kappa light chains stain strongly positive (3+/4+) along the peripheral capillary walls and mesangial areas. Lambda light chains are negative in the deposits (Adapted from: </w:t>
      </w:r>
      <w:hyperlink r:id="rId15" w:history="1">
        <w:r>
          <w:rPr>
            <w:rStyle w:val="Hyperlink"/>
            <w:rFonts w:asciiTheme="minorBidi" w:eastAsia="Times New Roman" w:hAnsiTheme="minorBidi"/>
            <w:color w:val="auto"/>
            <w:sz w:val="16"/>
            <w:szCs w:val="16"/>
            <w:u w:val="none"/>
          </w:rPr>
          <w:t xml:space="preserve"> Al-Rabadi</w:t>
        </w:r>
      </w:hyperlink>
      <w:r>
        <w:rPr>
          <w:rFonts w:asciiTheme="minorBidi" w:eastAsia="Times New Roman" w:hAnsiTheme="minorBidi"/>
          <w:sz w:val="16"/>
          <w:szCs w:val="16"/>
        </w:rPr>
        <w:t xml:space="preserve"> L et al (2015), (open access) [12]).</w:t>
      </w:r>
    </w:p>
    <w:p w:rsidR="00B92944" w:rsidRDefault="00B92944" w:rsidP="00B92944">
      <w:pPr>
        <w:spacing w:after="0" w:line="240" w:lineRule="auto"/>
        <w:jc w:val="both"/>
        <w:rPr>
          <w:rFonts w:asciiTheme="minorBidi" w:eastAsia="Times New Roman" w:hAnsiTheme="minorBidi"/>
          <w:u w:val="single"/>
        </w:rPr>
      </w:pPr>
    </w:p>
    <w:p w:rsidR="00B92944" w:rsidRDefault="00B92944" w:rsidP="00B92944">
      <w:pPr>
        <w:pBdr>
          <w:top w:val="single" w:sz="4" w:space="1" w:color="auto"/>
          <w:left w:val="single" w:sz="4" w:space="4" w:color="auto"/>
          <w:bottom w:val="single" w:sz="4" w:space="1" w:color="auto"/>
          <w:right w:val="single" w:sz="4" w:space="4" w:color="auto"/>
        </w:pBdr>
        <w:spacing w:after="0" w:line="240" w:lineRule="auto"/>
        <w:jc w:val="both"/>
        <w:rPr>
          <w:rFonts w:asciiTheme="minorBidi" w:eastAsia="Times New Roman" w:hAnsiTheme="minorBidi"/>
          <w:sz w:val="24"/>
          <w:szCs w:val="24"/>
        </w:rPr>
      </w:pPr>
      <w:r w:rsidRPr="00B92944">
        <w:rPr>
          <w:rFonts w:asciiTheme="minorBidi" w:eastAsia="Times New Roman" w:hAnsiTheme="minorBidi"/>
          <w:b/>
          <w:bCs/>
          <w:i/>
          <w:iCs/>
          <w:color w:val="C00000"/>
          <w:sz w:val="24"/>
          <w:szCs w:val="24"/>
        </w:rPr>
        <w:t>Differential diagnosis</w:t>
      </w:r>
      <w:r>
        <w:rPr>
          <w:rFonts w:asciiTheme="minorBidi" w:eastAsia="Times New Roman" w:hAnsiTheme="minorBidi"/>
          <w:i/>
          <w:iCs/>
          <w:sz w:val="24"/>
          <w:szCs w:val="24"/>
        </w:rPr>
        <w:t>:</w:t>
      </w:r>
      <w:r>
        <w:rPr>
          <w:rFonts w:asciiTheme="minorBidi" w:eastAsia="Times New Roman" w:hAnsiTheme="minorBidi"/>
          <w:sz w:val="24"/>
          <w:szCs w:val="24"/>
        </w:rPr>
        <w:t xml:space="preserve"> PGNMID should be differentiated from other entities e.g. type I cryoglobulinemic GN, transplant glomerulopathy, primary MPGN, post infectious GN, immunotactoid and fibrillary GN. As regard type I cryoglobulinemic GN, PGNMID lacks the serologic evidence of cryoglobulinemia, and also the annular-tubular as well as the fibrillary substructure by EM are absent. The microtubules of 30-40 nm in EM that characterizing immunotactoid are missed, so did the negative Congo red randomly organized fibrils of 16-24 nm diameter of the fibrillary GN. Lack of IF and EM studies can lead to a suspicion of transplant glomerulopathy, but the absence of monoclonality and the faint staining of the IgG can differentiate it from PGNMID [2]. PGNMID may simulate LHCDD in many aspects, but the pathogenesis is not alike [12]. While the heavy and the light chains deposition involve the glomerular as well as the tubular basement membrane in LHCDD, deposition of the intact monoclonal Ig is usually confined to the glomerular constituents in PGNMID. Also, the electron dense deposits (EDD) are of granular nature in PGNMID as opposed to the powdery nature of LCDD deposits [12]</w:t>
      </w:r>
      <w:r>
        <w:rPr>
          <w:rFonts w:asciiTheme="minorBidi" w:eastAsia="Times New Roman" w:hAnsiTheme="minorBidi"/>
          <w:sz w:val="16"/>
          <w:szCs w:val="16"/>
        </w:rPr>
        <w:t xml:space="preserve"> </w:t>
      </w:r>
      <w:r>
        <w:rPr>
          <w:rFonts w:asciiTheme="minorBidi" w:eastAsia="Times New Roman" w:hAnsiTheme="minorBidi"/>
          <w:sz w:val="24"/>
          <w:szCs w:val="24"/>
        </w:rPr>
        <w:t>.</w:t>
      </w:r>
    </w:p>
    <w:p w:rsidR="00B92944" w:rsidRDefault="00B92944" w:rsidP="00B92944">
      <w:pPr>
        <w:jc w:val="both"/>
        <w:rPr>
          <w:rFonts w:asciiTheme="minorBidi" w:eastAsia="Times New Roman" w:hAnsiTheme="minorBidi"/>
          <w:i/>
          <w:iCs/>
          <w:sz w:val="26"/>
          <w:szCs w:val="26"/>
        </w:rPr>
      </w:pPr>
    </w:p>
    <w:p w:rsidR="00B92944" w:rsidRDefault="00B92944" w:rsidP="00B92944">
      <w:pPr>
        <w:jc w:val="both"/>
        <w:rPr>
          <w:rFonts w:asciiTheme="minorBidi" w:eastAsia="Times New Roman" w:hAnsiTheme="minorBidi"/>
          <w:i/>
          <w:iCs/>
          <w:sz w:val="26"/>
          <w:szCs w:val="26"/>
        </w:rPr>
      </w:pPr>
    </w:p>
    <w:p w:rsidR="00B92944" w:rsidRDefault="00B92944" w:rsidP="00B92944">
      <w:pPr>
        <w:pBdr>
          <w:top w:val="single" w:sz="4" w:space="1" w:color="auto"/>
          <w:left w:val="single" w:sz="4" w:space="4" w:color="auto"/>
          <w:bottom w:val="single" w:sz="4" w:space="1" w:color="auto"/>
          <w:right w:val="single" w:sz="4" w:space="4" w:color="auto"/>
        </w:pBdr>
        <w:shd w:val="clear" w:color="auto" w:fill="DEEAF6" w:themeFill="accent5" w:themeFillTint="33"/>
        <w:jc w:val="both"/>
        <w:rPr>
          <w:rFonts w:asciiTheme="minorBidi" w:eastAsia="Times New Roman" w:hAnsiTheme="minorBidi"/>
          <w:sz w:val="24"/>
          <w:szCs w:val="24"/>
        </w:rPr>
      </w:pPr>
      <w:r w:rsidRPr="00B92944">
        <w:rPr>
          <w:rFonts w:asciiTheme="minorBidi" w:eastAsia="Times New Roman" w:hAnsiTheme="minorBidi"/>
          <w:b/>
          <w:bCs/>
          <w:i/>
          <w:iCs/>
          <w:color w:val="C00000"/>
          <w:sz w:val="26"/>
          <w:szCs w:val="26"/>
        </w:rPr>
        <w:t>Conclusion</w:t>
      </w:r>
      <w:r>
        <w:rPr>
          <w:rFonts w:asciiTheme="minorBidi" w:eastAsia="Times New Roman" w:hAnsiTheme="minorBidi"/>
          <w:sz w:val="24"/>
          <w:szCs w:val="24"/>
        </w:rPr>
        <w:t xml:space="preserve">: In the last few years, PGNMID disease </w:t>
      </w:r>
      <w:r>
        <w:rPr>
          <w:rFonts w:asciiTheme="minorBidi" w:eastAsia="Times New Roman" w:hAnsiTheme="minorBidi"/>
          <w:sz w:val="24"/>
          <w:szCs w:val="24"/>
          <w:lang w:bidi="ar-EG"/>
        </w:rPr>
        <w:t>attained</w:t>
      </w:r>
      <w:r>
        <w:rPr>
          <w:rFonts w:asciiTheme="minorBidi" w:eastAsia="Times New Roman" w:hAnsiTheme="minorBidi"/>
          <w:sz w:val="24"/>
          <w:szCs w:val="24"/>
          <w:rtl/>
          <w:lang w:bidi="ar-EG"/>
        </w:rPr>
        <w:t xml:space="preserve"> </w:t>
      </w:r>
      <w:r>
        <w:rPr>
          <w:rFonts w:asciiTheme="minorBidi" w:eastAsia="Times New Roman" w:hAnsiTheme="minorBidi"/>
          <w:sz w:val="24"/>
          <w:szCs w:val="24"/>
          <w:lang w:bidi="ar-EG"/>
        </w:rPr>
        <w:t xml:space="preserve">a particular entity. Given the lack of monoclonal bands either in urine or serum, with normal appearance of bone marrow biopsy, this entity should be differentiated from other diseases with similar presentation, a challenging insight during RTR preparation </w:t>
      </w:r>
      <w:r>
        <w:rPr>
          <w:rFonts w:asciiTheme="minorBidi" w:eastAsia="Times New Roman" w:hAnsiTheme="minorBidi"/>
          <w:sz w:val="24"/>
          <w:szCs w:val="24"/>
        </w:rPr>
        <w:t>[12]</w:t>
      </w:r>
      <w:r>
        <w:rPr>
          <w:rFonts w:asciiTheme="minorBidi" w:eastAsia="Times New Roman" w:hAnsiTheme="minorBidi"/>
          <w:sz w:val="24"/>
          <w:szCs w:val="24"/>
          <w:lang w:bidi="ar-EG"/>
        </w:rPr>
        <w:t>.</w:t>
      </w:r>
      <w:r>
        <w:rPr>
          <w:rFonts w:asciiTheme="minorBidi" w:eastAsia="Times New Roman" w:hAnsiTheme="minorBidi"/>
          <w:sz w:val="16"/>
          <w:szCs w:val="16"/>
        </w:rPr>
        <w:t xml:space="preserve"> </w:t>
      </w:r>
      <w:r>
        <w:rPr>
          <w:rFonts w:asciiTheme="minorBidi" w:eastAsia="Times New Roman" w:hAnsiTheme="minorBidi"/>
          <w:sz w:val="24"/>
          <w:szCs w:val="24"/>
        </w:rPr>
        <w:t xml:space="preserve">Once the features of </w:t>
      </w:r>
      <w:r>
        <w:rPr>
          <w:rFonts w:asciiTheme="minorBidi" w:eastAsia="Times New Roman" w:hAnsiTheme="minorBidi"/>
          <w:sz w:val="24"/>
          <w:szCs w:val="24"/>
        </w:rPr>
        <w:lastRenderedPageBreak/>
        <w:t xml:space="preserve">MPGN have been shown in the LM of allograft kidney biopsy, considering PGNMID disease should not be overlooked in the differential diagnosis. For better understanding of the basis of the PGNMID pathogenesis and the advent of the best therapeutic approach, further studies on a wider randomized base should be accomplished. Long term monitoring of PGNMID is recommended to guard against a hidden hematological malignancy [11].  </w:t>
      </w:r>
    </w:p>
    <w:p w:rsidR="00B92944" w:rsidRDefault="00B92944" w:rsidP="00B92944">
      <w:pPr>
        <w:jc w:val="both"/>
        <w:rPr>
          <w:rFonts w:asciiTheme="minorBidi" w:eastAsia="Times New Roman" w:hAnsiTheme="minorBidi"/>
          <w:sz w:val="28"/>
          <w:szCs w:val="28"/>
        </w:rPr>
      </w:pPr>
      <w:r>
        <w:rPr>
          <w:rFonts w:asciiTheme="minorBidi" w:eastAsia="Times New Roman" w:hAnsiTheme="minorBidi"/>
          <w:sz w:val="28"/>
          <w:szCs w:val="28"/>
        </w:rPr>
        <w:t>References</w:t>
      </w:r>
    </w:p>
    <w:p w:rsidR="00B92944" w:rsidRDefault="00B92944" w:rsidP="00B92944">
      <w:pPr>
        <w:spacing w:after="0" w:line="240" w:lineRule="auto"/>
        <w:jc w:val="both"/>
        <w:rPr>
          <w:rFonts w:asciiTheme="minorBidi" w:eastAsia="Times New Roman" w:hAnsiTheme="minorBidi"/>
          <w:sz w:val="20"/>
          <w:szCs w:val="20"/>
        </w:rPr>
      </w:pPr>
      <w:r>
        <w:rPr>
          <w:rFonts w:asciiTheme="minorBidi" w:eastAsia="Times New Roman" w:hAnsiTheme="minorBidi"/>
          <w:sz w:val="20"/>
          <w:szCs w:val="20"/>
        </w:rPr>
        <w:t xml:space="preserve">[1] Nasr SH, </w:t>
      </w:r>
      <w:proofErr w:type="spellStart"/>
      <w:r>
        <w:rPr>
          <w:rFonts w:asciiTheme="minorBidi" w:eastAsia="Times New Roman" w:hAnsiTheme="minorBidi"/>
          <w:sz w:val="20"/>
          <w:szCs w:val="20"/>
        </w:rPr>
        <w:t>Sethi</w:t>
      </w:r>
      <w:proofErr w:type="spellEnd"/>
      <w:r>
        <w:rPr>
          <w:rFonts w:asciiTheme="minorBidi" w:eastAsia="Times New Roman" w:hAnsiTheme="minorBidi"/>
          <w:sz w:val="20"/>
          <w:szCs w:val="20"/>
        </w:rPr>
        <w:t xml:space="preserve"> S, Cornell LD, Fidler ME, </w:t>
      </w:r>
      <w:proofErr w:type="spellStart"/>
      <w:r>
        <w:rPr>
          <w:rFonts w:asciiTheme="minorBidi" w:eastAsia="Times New Roman" w:hAnsiTheme="minorBidi"/>
          <w:sz w:val="20"/>
          <w:szCs w:val="20"/>
        </w:rPr>
        <w:t>Boelkins</w:t>
      </w:r>
      <w:proofErr w:type="spellEnd"/>
      <w:r>
        <w:rPr>
          <w:rFonts w:asciiTheme="minorBidi" w:eastAsia="Times New Roman" w:hAnsiTheme="minorBidi"/>
          <w:sz w:val="20"/>
          <w:szCs w:val="20"/>
        </w:rPr>
        <w:t xml:space="preserve"> M, Fervenza FC, et al. Proliferative glomerulonephritis with monoclonal IgG deposits recurs in the allograft. Clin J Am Soc Nephrol. </w:t>
      </w:r>
      <w:r>
        <w:rPr>
          <w:rFonts w:asciiTheme="minorBidi" w:eastAsia="Times New Roman" w:hAnsiTheme="minorBidi"/>
          <w:b/>
          <w:bCs/>
          <w:sz w:val="20"/>
          <w:szCs w:val="20"/>
        </w:rPr>
        <w:t>2011</w:t>
      </w:r>
      <w:r>
        <w:rPr>
          <w:rFonts w:asciiTheme="minorBidi" w:eastAsia="Times New Roman" w:hAnsiTheme="minorBidi"/>
          <w:sz w:val="20"/>
          <w:szCs w:val="20"/>
        </w:rPr>
        <w:t>;6 (1):122-312. doi: 10.2215/CJN.05750710.</w:t>
      </w:r>
    </w:p>
    <w:p w:rsidR="00B92944" w:rsidRDefault="00B92944" w:rsidP="00B92944">
      <w:pPr>
        <w:spacing w:after="0" w:line="240" w:lineRule="auto"/>
        <w:jc w:val="both"/>
        <w:rPr>
          <w:rFonts w:asciiTheme="minorBidi" w:eastAsia="Times New Roman" w:hAnsiTheme="minorBidi"/>
          <w:sz w:val="20"/>
          <w:szCs w:val="20"/>
        </w:rPr>
      </w:pPr>
    </w:p>
    <w:p w:rsidR="00B92944" w:rsidRDefault="00B92944" w:rsidP="00B92944">
      <w:pPr>
        <w:spacing w:after="0" w:line="240" w:lineRule="auto"/>
        <w:jc w:val="both"/>
        <w:rPr>
          <w:rFonts w:asciiTheme="minorBidi" w:eastAsia="Times New Roman" w:hAnsiTheme="minorBidi"/>
          <w:sz w:val="20"/>
          <w:szCs w:val="20"/>
        </w:rPr>
      </w:pPr>
      <w:r>
        <w:rPr>
          <w:rFonts w:asciiTheme="minorBidi" w:eastAsia="Times New Roman" w:hAnsiTheme="minorBidi"/>
          <w:sz w:val="20"/>
          <w:szCs w:val="20"/>
        </w:rPr>
        <w:t xml:space="preserve">[2] Albawardi A, </w:t>
      </w:r>
      <w:proofErr w:type="spellStart"/>
      <w:r>
        <w:rPr>
          <w:rFonts w:asciiTheme="minorBidi" w:eastAsia="Times New Roman" w:hAnsiTheme="minorBidi"/>
          <w:sz w:val="20"/>
          <w:szCs w:val="20"/>
        </w:rPr>
        <w:t>Satoskar</w:t>
      </w:r>
      <w:proofErr w:type="spellEnd"/>
      <w:r>
        <w:rPr>
          <w:rFonts w:asciiTheme="minorBidi" w:eastAsia="Times New Roman" w:hAnsiTheme="minorBidi"/>
          <w:sz w:val="20"/>
          <w:szCs w:val="20"/>
        </w:rPr>
        <w:t xml:space="preserve"> A, Von Visger J, Brodsky S, </w:t>
      </w:r>
      <w:proofErr w:type="spellStart"/>
      <w:r>
        <w:rPr>
          <w:rFonts w:asciiTheme="minorBidi" w:eastAsia="Times New Roman" w:hAnsiTheme="minorBidi"/>
          <w:sz w:val="20"/>
          <w:szCs w:val="20"/>
        </w:rPr>
        <w:t>Nadasdy</w:t>
      </w:r>
      <w:proofErr w:type="spellEnd"/>
      <w:r>
        <w:rPr>
          <w:rFonts w:asciiTheme="minorBidi" w:eastAsia="Times New Roman" w:hAnsiTheme="minorBidi"/>
          <w:sz w:val="20"/>
          <w:szCs w:val="20"/>
        </w:rPr>
        <w:t xml:space="preserve"> G, </w:t>
      </w:r>
      <w:proofErr w:type="spellStart"/>
      <w:r>
        <w:rPr>
          <w:rFonts w:asciiTheme="minorBidi" w:eastAsia="Times New Roman" w:hAnsiTheme="minorBidi"/>
          <w:sz w:val="20"/>
          <w:szCs w:val="20"/>
        </w:rPr>
        <w:t>Nadasdy</w:t>
      </w:r>
      <w:proofErr w:type="spellEnd"/>
      <w:r>
        <w:rPr>
          <w:rFonts w:asciiTheme="minorBidi" w:eastAsia="Times New Roman" w:hAnsiTheme="minorBidi"/>
          <w:sz w:val="20"/>
          <w:szCs w:val="20"/>
        </w:rPr>
        <w:t xml:space="preserve"> T. Proliferative glomerulonephritis  with monoclonal IgG deposits recurs or may develop  de novo in kidney allograft. Am J Kidney Dis.  2011; 58 (2):276-81. doi: 10.1053/j.ajkd.2011.05.003.</w:t>
      </w:r>
    </w:p>
    <w:p w:rsidR="00B92944" w:rsidRDefault="00B92944" w:rsidP="00B92944">
      <w:pPr>
        <w:spacing w:after="0" w:line="240" w:lineRule="auto"/>
        <w:jc w:val="both"/>
        <w:rPr>
          <w:rFonts w:asciiTheme="minorBidi" w:eastAsia="Times New Roman" w:hAnsiTheme="minorBidi"/>
          <w:sz w:val="20"/>
          <w:szCs w:val="20"/>
        </w:rPr>
      </w:pPr>
    </w:p>
    <w:p w:rsidR="00B92944" w:rsidRDefault="00B92944" w:rsidP="00B92944">
      <w:pPr>
        <w:spacing w:after="0" w:line="240" w:lineRule="auto"/>
        <w:jc w:val="both"/>
        <w:rPr>
          <w:rFonts w:asciiTheme="minorBidi" w:eastAsia="Times New Roman" w:hAnsiTheme="minorBidi"/>
          <w:sz w:val="20"/>
          <w:szCs w:val="20"/>
        </w:rPr>
      </w:pPr>
      <w:r>
        <w:rPr>
          <w:rFonts w:asciiTheme="minorBidi" w:eastAsia="Times New Roman" w:hAnsiTheme="minorBidi"/>
          <w:sz w:val="20"/>
          <w:szCs w:val="20"/>
        </w:rPr>
        <w:t xml:space="preserve">[3] Sumida K, </w:t>
      </w:r>
      <w:proofErr w:type="spellStart"/>
      <w:r>
        <w:rPr>
          <w:rFonts w:asciiTheme="minorBidi" w:eastAsia="Times New Roman" w:hAnsiTheme="minorBidi"/>
          <w:sz w:val="20"/>
          <w:szCs w:val="20"/>
        </w:rPr>
        <w:t>Ubara</w:t>
      </w:r>
      <w:proofErr w:type="spellEnd"/>
      <w:r>
        <w:rPr>
          <w:rFonts w:asciiTheme="minorBidi" w:eastAsia="Times New Roman" w:hAnsiTheme="minorBidi"/>
          <w:sz w:val="20"/>
          <w:szCs w:val="20"/>
        </w:rPr>
        <w:t xml:space="preserve"> Y, Marui Y, Nakamura M, </w:t>
      </w:r>
      <w:proofErr w:type="spellStart"/>
      <w:r>
        <w:rPr>
          <w:rFonts w:asciiTheme="minorBidi" w:eastAsia="Times New Roman" w:hAnsiTheme="minorBidi"/>
          <w:sz w:val="20"/>
          <w:szCs w:val="20"/>
        </w:rPr>
        <w:t>Takaichi</w:t>
      </w:r>
      <w:proofErr w:type="spellEnd"/>
      <w:r>
        <w:rPr>
          <w:rFonts w:asciiTheme="minorBidi" w:eastAsia="Times New Roman" w:hAnsiTheme="minorBidi"/>
          <w:sz w:val="20"/>
          <w:szCs w:val="20"/>
        </w:rPr>
        <w:t xml:space="preserve">  K, </w:t>
      </w:r>
      <w:proofErr w:type="spellStart"/>
      <w:r>
        <w:rPr>
          <w:rFonts w:asciiTheme="minorBidi" w:eastAsia="Times New Roman" w:hAnsiTheme="minorBidi"/>
          <w:sz w:val="20"/>
          <w:szCs w:val="20"/>
        </w:rPr>
        <w:t>Tomikawa</w:t>
      </w:r>
      <w:proofErr w:type="spellEnd"/>
      <w:r>
        <w:rPr>
          <w:rFonts w:asciiTheme="minorBidi" w:eastAsia="Times New Roman" w:hAnsiTheme="minorBidi"/>
          <w:sz w:val="20"/>
          <w:szCs w:val="20"/>
        </w:rPr>
        <w:t xml:space="preserve"> S, </w:t>
      </w:r>
      <w:proofErr w:type="spellStart"/>
      <w:r>
        <w:rPr>
          <w:rFonts w:asciiTheme="minorBidi" w:eastAsia="Times New Roman" w:hAnsiTheme="minorBidi"/>
          <w:sz w:val="20"/>
          <w:szCs w:val="20"/>
        </w:rPr>
        <w:t>etal</w:t>
      </w:r>
      <w:proofErr w:type="spellEnd"/>
      <w:r>
        <w:rPr>
          <w:rFonts w:asciiTheme="minorBidi" w:eastAsia="Times New Roman" w:hAnsiTheme="minorBidi"/>
          <w:sz w:val="20"/>
          <w:szCs w:val="20"/>
        </w:rPr>
        <w:t>. Recurrent proliferative  glomerulonephritis with monoclonal IgG deposits of  IgG2λ subtype in a transplanted kidney: a case report.  Am J Kidney Dis. 2013; 62(3):587-90. doi: 10.1053/j. ajkd.2013.01.013.</w:t>
      </w:r>
    </w:p>
    <w:p w:rsidR="00B92944" w:rsidRDefault="00B92944" w:rsidP="00B92944">
      <w:pPr>
        <w:spacing w:after="0" w:line="240" w:lineRule="auto"/>
        <w:jc w:val="both"/>
        <w:rPr>
          <w:rFonts w:asciiTheme="minorBidi" w:eastAsia="Times New Roman" w:hAnsiTheme="minorBidi"/>
          <w:sz w:val="20"/>
          <w:szCs w:val="20"/>
        </w:rPr>
      </w:pPr>
    </w:p>
    <w:p w:rsidR="00B92944" w:rsidRDefault="00B92944" w:rsidP="00B92944">
      <w:pPr>
        <w:spacing w:after="0" w:line="240" w:lineRule="auto"/>
        <w:jc w:val="both"/>
        <w:rPr>
          <w:rFonts w:asciiTheme="minorBidi" w:eastAsia="Times New Roman" w:hAnsiTheme="minorBidi"/>
          <w:sz w:val="20"/>
          <w:szCs w:val="20"/>
        </w:rPr>
      </w:pPr>
      <w:r>
        <w:rPr>
          <w:rFonts w:asciiTheme="minorBidi" w:eastAsia="Times New Roman" w:hAnsiTheme="minorBidi"/>
          <w:sz w:val="20"/>
          <w:szCs w:val="20"/>
        </w:rPr>
        <w:t xml:space="preserve">[4] </w:t>
      </w:r>
      <w:proofErr w:type="spellStart"/>
      <w:r>
        <w:rPr>
          <w:rFonts w:asciiTheme="minorBidi" w:eastAsia="Times New Roman" w:hAnsiTheme="minorBidi"/>
          <w:sz w:val="20"/>
          <w:szCs w:val="20"/>
        </w:rPr>
        <w:t>Ranghino</w:t>
      </w:r>
      <w:proofErr w:type="spellEnd"/>
      <w:r>
        <w:rPr>
          <w:rFonts w:asciiTheme="minorBidi" w:eastAsia="Times New Roman" w:hAnsiTheme="minorBidi"/>
          <w:sz w:val="20"/>
          <w:szCs w:val="20"/>
        </w:rPr>
        <w:t xml:space="preserve"> A, </w:t>
      </w:r>
      <w:proofErr w:type="spellStart"/>
      <w:r>
        <w:rPr>
          <w:rFonts w:asciiTheme="minorBidi" w:eastAsia="Times New Roman" w:hAnsiTheme="minorBidi"/>
          <w:sz w:val="20"/>
          <w:szCs w:val="20"/>
        </w:rPr>
        <w:t>Tamagnone</w:t>
      </w:r>
      <w:proofErr w:type="spellEnd"/>
      <w:r>
        <w:rPr>
          <w:rFonts w:asciiTheme="minorBidi" w:eastAsia="Times New Roman" w:hAnsiTheme="minorBidi"/>
          <w:sz w:val="20"/>
          <w:szCs w:val="20"/>
        </w:rPr>
        <w:t xml:space="preserve"> M, Messina M, </w:t>
      </w:r>
      <w:proofErr w:type="spellStart"/>
      <w:r>
        <w:rPr>
          <w:rFonts w:asciiTheme="minorBidi" w:eastAsia="Times New Roman" w:hAnsiTheme="minorBidi"/>
          <w:sz w:val="20"/>
          <w:szCs w:val="20"/>
        </w:rPr>
        <w:t>Barreca</w:t>
      </w:r>
      <w:proofErr w:type="spellEnd"/>
      <w:r>
        <w:rPr>
          <w:rFonts w:asciiTheme="minorBidi" w:eastAsia="Times New Roman" w:hAnsiTheme="minorBidi"/>
          <w:sz w:val="20"/>
          <w:szCs w:val="20"/>
        </w:rPr>
        <w:t xml:space="preserve"> A, </w:t>
      </w:r>
      <w:proofErr w:type="spellStart"/>
      <w:r>
        <w:rPr>
          <w:rFonts w:asciiTheme="minorBidi" w:eastAsia="Times New Roman" w:hAnsiTheme="minorBidi"/>
          <w:sz w:val="20"/>
          <w:szCs w:val="20"/>
        </w:rPr>
        <w:t>Biancone</w:t>
      </w:r>
      <w:proofErr w:type="spellEnd"/>
      <w:r>
        <w:rPr>
          <w:rFonts w:asciiTheme="minorBidi" w:eastAsia="Times New Roman" w:hAnsiTheme="minorBidi"/>
          <w:sz w:val="20"/>
          <w:szCs w:val="20"/>
        </w:rPr>
        <w:t xml:space="preserve"> L, </w:t>
      </w:r>
      <w:proofErr w:type="spellStart"/>
      <w:r>
        <w:rPr>
          <w:rFonts w:asciiTheme="minorBidi" w:eastAsia="Times New Roman" w:hAnsiTheme="minorBidi"/>
          <w:sz w:val="20"/>
          <w:szCs w:val="20"/>
        </w:rPr>
        <w:t>Basolo</w:t>
      </w:r>
      <w:proofErr w:type="spellEnd"/>
      <w:r>
        <w:rPr>
          <w:rFonts w:asciiTheme="minorBidi" w:eastAsia="Times New Roman" w:hAnsiTheme="minorBidi"/>
          <w:sz w:val="20"/>
          <w:szCs w:val="20"/>
        </w:rPr>
        <w:t xml:space="preserve"> B, et al. A case of recurrent </w:t>
      </w:r>
    </w:p>
    <w:p w:rsidR="00B92944" w:rsidRDefault="00B92944" w:rsidP="00B92944">
      <w:pPr>
        <w:spacing w:after="0" w:line="240" w:lineRule="auto"/>
        <w:jc w:val="both"/>
        <w:rPr>
          <w:rFonts w:asciiTheme="minorBidi" w:eastAsia="Times New Roman" w:hAnsiTheme="minorBidi"/>
          <w:sz w:val="20"/>
          <w:szCs w:val="20"/>
        </w:rPr>
      </w:pPr>
      <w:r>
        <w:rPr>
          <w:rFonts w:asciiTheme="minorBidi" w:eastAsia="Times New Roman" w:hAnsiTheme="minorBidi"/>
          <w:sz w:val="20"/>
          <w:szCs w:val="20"/>
        </w:rPr>
        <w:t>Proliferative glomerulonephritis with monoclonal  IgG deposits after kidney transplant treated with plasmapheresis. Case Rep Nephrol Urol. 2012;2(1):46-52. doi: 10.1159/000339405.</w:t>
      </w:r>
    </w:p>
    <w:p w:rsidR="00B92944" w:rsidRDefault="00B92944" w:rsidP="00B92944">
      <w:pPr>
        <w:spacing w:after="0" w:line="240" w:lineRule="auto"/>
        <w:jc w:val="both"/>
        <w:rPr>
          <w:rFonts w:asciiTheme="minorBidi" w:eastAsia="Times New Roman" w:hAnsiTheme="minorBidi"/>
          <w:sz w:val="20"/>
          <w:szCs w:val="20"/>
        </w:rPr>
      </w:pPr>
    </w:p>
    <w:p w:rsidR="00B92944" w:rsidRDefault="00B92944" w:rsidP="00B92944">
      <w:pPr>
        <w:spacing w:after="0" w:line="240" w:lineRule="auto"/>
        <w:jc w:val="both"/>
        <w:rPr>
          <w:rFonts w:asciiTheme="minorBidi" w:eastAsia="Times New Roman" w:hAnsiTheme="minorBidi"/>
          <w:sz w:val="20"/>
          <w:szCs w:val="20"/>
        </w:rPr>
      </w:pPr>
      <w:r>
        <w:rPr>
          <w:rFonts w:asciiTheme="minorBidi" w:eastAsia="Times New Roman" w:hAnsiTheme="minorBidi"/>
          <w:sz w:val="20"/>
          <w:szCs w:val="20"/>
        </w:rPr>
        <w:t xml:space="preserve">[5] Wu D, Chen JS, Cheng DR, Chen H, Li X, Ji SM, et al. Recurrent proliferative glomerulonephritis with </w:t>
      </w:r>
    </w:p>
    <w:p w:rsidR="00B92944" w:rsidRDefault="00B92944" w:rsidP="00B92944">
      <w:pPr>
        <w:spacing w:after="0" w:line="240" w:lineRule="auto"/>
        <w:jc w:val="both"/>
        <w:rPr>
          <w:rFonts w:asciiTheme="minorBidi" w:eastAsia="Times New Roman" w:hAnsiTheme="minorBidi"/>
          <w:sz w:val="20"/>
          <w:szCs w:val="20"/>
        </w:rPr>
      </w:pPr>
      <w:r>
        <w:rPr>
          <w:rFonts w:asciiTheme="minorBidi" w:eastAsia="Times New Roman" w:hAnsiTheme="minorBidi"/>
          <w:sz w:val="20"/>
          <w:szCs w:val="20"/>
        </w:rPr>
        <w:t xml:space="preserve">Monoclonal IgG deposits after a renal transplant which was insensitive to pulse therapy remitted by double </w:t>
      </w:r>
    </w:p>
    <w:p w:rsidR="00B92944" w:rsidRDefault="00B92944" w:rsidP="00B92944">
      <w:pPr>
        <w:spacing w:after="0" w:line="240" w:lineRule="auto"/>
        <w:jc w:val="both"/>
        <w:rPr>
          <w:rFonts w:asciiTheme="minorBidi" w:eastAsia="Times New Roman" w:hAnsiTheme="minorBidi"/>
          <w:sz w:val="20"/>
          <w:szCs w:val="20"/>
        </w:rPr>
      </w:pPr>
      <w:r>
        <w:rPr>
          <w:rFonts w:asciiTheme="minorBidi" w:eastAsia="Times New Roman" w:hAnsiTheme="minorBidi"/>
          <w:sz w:val="20"/>
          <w:szCs w:val="20"/>
        </w:rPr>
        <w:t xml:space="preserve">filtration plasmapheresis. </w:t>
      </w:r>
      <w:proofErr w:type="spellStart"/>
      <w:r>
        <w:rPr>
          <w:rFonts w:asciiTheme="minorBidi" w:eastAsia="Times New Roman" w:hAnsiTheme="minorBidi"/>
          <w:sz w:val="20"/>
          <w:szCs w:val="20"/>
        </w:rPr>
        <w:t>Exp</w:t>
      </w:r>
      <w:proofErr w:type="spellEnd"/>
      <w:r>
        <w:rPr>
          <w:rFonts w:asciiTheme="minorBidi" w:eastAsia="Times New Roman" w:hAnsiTheme="minorBidi"/>
          <w:sz w:val="20"/>
          <w:szCs w:val="20"/>
        </w:rPr>
        <w:t xml:space="preserve"> Clin Transplant. 2015;  13(5):467-70. doi: 10.6002/ect.2014.0107.</w:t>
      </w:r>
    </w:p>
    <w:p w:rsidR="00B92944" w:rsidRDefault="00B92944" w:rsidP="00B92944">
      <w:pPr>
        <w:spacing w:after="0" w:line="240" w:lineRule="auto"/>
        <w:jc w:val="both"/>
        <w:rPr>
          <w:rFonts w:asciiTheme="minorBidi" w:eastAsia="Times New Roman" w:hAnsiTheme="minorBidi"/>
          <w:sz w:val="20"/>
          <w:szCs w:val="20"/>
        </w:rPr>
      </w:pPr>
    </w:p>
    <w:p w:rsidR="00B92944" w:rsidRDefault="00B92944" w:rsidP="00B92944">
      <w:pPr>
        <w:spacing w:after="0" w:line="240" w:lineRule="auto"/>
        <w:jc w:val="both"/>
        <w:rPr>
          <w:rFonts w:asciiTheme="minorBidi" w:eastAsia="Times New Roman" w:hAnsiTheme="minorBidi"/>
          <w:sz w:val="20"/>
          <w:szCs w:val="20"/>
        </w:rPr>
      </w:pPr>
      <w:r>
        <w:rPr>
          <w:rFonts w:asciiTheme="minorBidi" w:eastAsia="Times New Roman" w:hAnsiTheme="minorBidi"/>
          <w:sz w:val="20"/>
          <w:szCs w:val="20"/>
        </w:rPr>
        <w:t xml:space="preserve">[6] Batal I, </w:t>
      </w:r>
      <w:proofErr w:type="spellStart"/>
      <w:r>
        <w:rPr>
          <w:rFonts w:asciiTheme="minorBidi" w:eastAsia="Times New Roman" w:hAnsiTheme="minorBidi"/>
          <w:sz w:val="20"/>
          <w:szCs w:val="20"/>
        </w:rPr>
        <w:t>Bijol</w:t>
      </w:r>
      <w:proofErr w:type="spellEnd"/>
      <w:r>
        <w:rPr>
          <w:rFonts w:asciiTheme="minorBidi" w:eastAsia="Times New Roman" w:hAnsiTheme="minorBidi"/>
          <w:sz w:val="20"/>
          <w:szCs w:val="20"/>
        </w:rPr>
        <w:t xml:space="preserve"> V, </w:t>
      </w:r>
      <w:proofErr w:type="spellStart"/>
      <w:r>
        <w:rPr>
          <w:rFonts w:asciiTheme="minorBidi" w:eastAsia="Times New Roman" w:hAnsiTheme="minorBidi"/>
          <w:sz w:val="20"/>
          <w:szCs w:val="20"/>
        </w:rPr>
        <w:t>Schlossman</w:t>
      </w:r>
      <w:proofErr w:type="spellEnd"/>
      <w:r>
        <w:rPr>
          <w:rFonts w:asciiTheme="minorBidi" w:eastAsia="Times New Roman" w:hAnsiTheme="minorBidi"/>
          <w:sz w:val="20"/>
          <w:szCs w:val="20"/>
        </w:rPr>
        <w:t xml:space="preserve"> RL, </w:t>
      </w:r>
      <w:proofErr w:type="spellStart"/>
      <w:r>
        <w:rPr>
          <w:rFonts w:asciiTheme="minorBidi" w:eastAsia="Times New Roman" w:hAnsiTheme="minorBidi"/>
          <w:sz w:val="20"/>
          <w:szCs w:val="20"/>
        </w:rPr>
        <w:t>Renke</w:t>
      </w:r>
      <w:proofErr w:type="spellEnd"/>
      <w:r>
        <w:rPr>
          <w:rFonts w:asciiTheme="minorBidi" w:eastAsia="Times New Roman" w:hAnsiTheme="minorBidi"/>
          <w:sz w:val="20"/>
          <w:szCs w:val="20"/>
        </w:rPr>
        <w:t xml:space="preserve"> HG. Proliferative  glomerulonephritis with monoclonal immunoglobulin deposits in a kidney allograft. Am J Kidney Dis.  2014;63(2):318-23. doi: 10.1053/j.ajkd.2013.07.015.</w:t>
      </w:r>
    </w:p>
    <w:p w:rsidR="00B92944" w:rsidRDefault="00B92944" w:rsidP="00B92944">
      <w:pPr>
        <w:spacing w:after="0" w:line="240" w:lineRule="auto"/>
        <w:jc w:val="both"/>
        <w:rPr>
          <w:rFonts w:asciiTheme="minorBidi" w:eastAsia="Times New Roman" w:hAnsiTheme="minorBidi"/>
          <w:sz w:val="20"/>
          <w:szCs w:val="20"/>
        </w:rPr>
      </w:pPr>
    </w:p>
    <w:p w:rsidR="00B92944" w:rsidRDefault="00B92944" w:rsidP="00B92944">
      <w:pPr>
        <w:spacing w:after="0" w:line="240" w:lineRule="auto"/>
        <w:jc w:val="both"/>
        <w:rPr>
          <w:rFonts w:asciiTheme="minorBidi" w:eastAsia="Times New Roman" w:hAnsiTheme="minorBidi"/>
          <w:sz w:val="20"/>
          <w:szCs w:val="20"/>
        </w:rPr>
      </w:pPr>
      <w:r>
        <w:rPr>
          <w:rFonts w:asciiTheme="minorBidi" w:eastAsia="Times New Roman" w:hAnsiTheme="minorBidi"/>
          <w:sz w:val="20"/>
          <w:szCs w:val="20"/>
        </w:rPr>
        <w:t>[7] Nasr SH, Markowitz GS, Stokes MB et al. Proliferative glomerulonephritis with monoclonal IgG deposits: a distinct entity mimicking immune-complex glomerulonephritis. Kidney Int 2004; 65: 85–96</w:t>
      </w:r>
    </w:p>
    <w:p w:rsidR="00B92944" w:rsidRDefault="00B92944" w:rsidP="00B92944">
      <w:pPr>
        <w:spacing w:after="0" w:line="240" w:lineRule="auto"/>
        <w:jc w:val="both"/>
        <w:rPr>
          <w:rFonts w:asciiTheme="minorBidi" w:eastAsia="Times New Roman" w:hAnsiTheme="minorBidi"/>
          <w:sz w:val="20"/>
          <w:szCs w:val="20"/>
        </w:rPr>
      </w:pPr>
    </w:p>
    <w:p w:rsidR="00B92944" w:rsidRDefault="00B92944" w:rsidP="00B92944">
      <w:pPr>
        <w:spacing w:after="0" w:line="240" w:lineRule="auto"/>
        <w:jc w:val="both"/>
        <w:rPr>
          <w:rFonts w:asciiTheme="minorBidi" w:eastAsia="Times New Roman" w:hAnsiTheme="minorBidi"/>
          <w:sz w:val="20"/>
          <w:szCs w:val="20"/>
        </w:rPr>
      </w:pPr>
      <w:r>
        <w:rPr>
          <w:rFonts w:asciiTheme="minorBidi" w:eastAsia="Times New Roman" w:hAnsiTheme="minorBidi"/>
          <w:sz w:val="20"/>
          <w:szCs w:val="20"/>
        </w:rPr>
        <w:t xml:space="preserve">[8] Nasr SH, </w:t>
      </w:r>
      <w:proofErr w:type="spellStart"/>
      <w:r>
        <w:rPr>
          <w:rFonts w:asciiTheme="minorBidi" w:eastAsia="Times New Roman" w:hAnsiTheme="minorBidi"/>
          <w:sz w:val="20"/>
          <w:szCs w:val="20"/>
        </w:rPr>
        <w:t>Satoskar</w:t>
      </w:r>
      <w:proofErr w:type="spellEnd"/>
      <w:r>
        <w:rPr>
          <w:rFonts w:asciiTheme="minorBidi" w:eastAsia="Times New Roman" w:hAnsiTheme="minorBidi"/>
          <w:sz w:val="20"/>
          <w:szCs w:val="20"/>
        </w:rPr>
        <w:t xml:space="preserve"> A, Markowitz GS et al. Proliferative glomerulonephritis with monoclonal IgG deposits. J Am Soc Nephrol 2009; 20: 2055–2064</w:t>
      </w:r>
    </w:p>
    <w:p w:rsidR="00B92944" w:rsidRDefault="00B92944" w:rsidP="00B92944">
      <w:pPr>
        <w:spacing w:after="0" w:line="240" w:lineRule="auto"/>
        <w:jc w:val="both"/>
        <w:rPr>
          <w:rFonts w:asciiTheme="minorBidi" w:eastAsia="Times New Roman" w:hAnsiTheme="minorBidi"/>
          <w:sz w:val="20"/>
          <w:szCs w:val="20"/>
        </w:rPr>
      </w:pPr>
    </w:p>
    <w:p w:rsidR="00B92944" w:rsidRDefault="00B92944" w:rsidP="00B92944">
      <w:pPr>
        <w:spacing w:after="0" w:line="240" w:lineRule="auto"/>
        <w:jc w:val="both"/>
        <w:rPr>
          <w:rFonts w:asciiTheme="minorBidi" w:eastAsia="Times New Roman" w:hAnsiTheme="minorBidi"/>
          <w:sz w:val="20"/>
          <w:szCs w:val="20"/>
        </w:rPr>
      </w:pPr>
      <w:r>
        <w:rPr>
          <w:rFonts w:asciiTheme="minorBidi" w:eastAsia="Times New Roman" w:hAnsiTheme="minorBidi"/>
          <w:sz w:val="20"/>
          <w:szCs w:val="20"/>
        </w:rPr>
        <w:t xml:space="preserve">[9] Nasr SH, </w:t>
      </w:r>
      <w:proofErr w:type="spellStart"/>
      <w:r>
        <w:rPr>
          <w:rFonts w:asciiTheme="minorBidi" w:eastAsia="Times New Roman" w:hAnsiTheme="minorBidi"/>
          <w:sz w:val="20"/>
          <w:szCs w:val="20"/>
        </w:rPr>
        <w:t>Satoskar</w:t>
      </w:r>
      <w:proofErr w:type="spellEnd"/>
      <w:r>
        <w:rPr>
          <w:rFonts w:asciiTheme="minorBidi" w:eastAsia="Times New Roman" w:hAnsiTheme="minorBidi"/>
          <w:sz w:val="20"/>
          <w:szCs w:val="20"/>
        </w:rPr>
        <w:t xml:space="preserve"> A, Markowitz GS, Valeri AM, Appel GB, Stokes MB, et al. Proliferative glomerulonephritis with monoclonal IgG deposits. J Am Soc Nephrol.  2009; 20 (9):2055-64. Doi: 10.1681/ASN.2009010110.</w:t>
      </w:r>
    </w:p>
    <w:p w:rsidR="00B92944" w:rsidRDefault="00B92944" w:rsidP="00B92944">
      <w:pPr>
        <w:spacing w:after="0" w:line="240" w:lineRule="auto"/>
        <w:jc w:val="both"/>
        <w:rPr>
          <w:rFonts w:asciiTheme="minorBidi" w:eastAsia="Times New Roman" w:hAnsiTheme="minorBidi"/>
          <w:sz w:val="20"/>
          <w:szCs w:val="20"/>
        </w:rPr>
      </w:pPr>
    </w:p>
    <w:p w:rsidR="00B92944" w:rsidRDefault="00B92944" w:rsidP="00B92944">
      <w:pPr>
        <w:spacing w:after="0" w:line="240" w:lineRule="auto"/>
        <w:jc w:val="both"/>
        <w:rPr>
          <w:rFonts w:asciiTheme="minorBidi" w:eastAsia="Times New Roman" w:hAnsiTheme="minorBidi"/>
          <w:sz w:val="20"/>
          <w:szCs w:val="20"/>
        </w:rPr>
      </w:pPr>
      <w:r>
        <w:rPr>
          <w:rFonts w:asciiTheme="minorBidi" w:eastAsia="Times New Roman" w:hAnsiTheme="minorBidi"/>
          <w:sz w:val="20"/>
          <w:szCs w:val="20"/>
        </w:rPr>
        <w:t xml:space="preserve">[10] Barbour SJ, Beaulieu MC, </w:t>
      </w:r>
      <w:proofErr w:type="spellStart"/>
      <w:r>
        <w:rPr>
          <w:rFonts w:asciiTheme="minorBidi" w:eastAsia="Times New Roman" w:hAnsiTheme="minorBidi"/>
          <w:sz w:val="20"/>
          <w:szCs w:val="20"/>
        </w:rPr>
        <w:t>Zalunardo</w:t>
      </w:r>
      <w:proofErr w:type="spellEnd"/>
      <w:r>
        <w:rPr>
          <w:rFonts w:asciiTheme="minorBidi" w:eastAsia="Times New Roman" w:hAnsiTheme="minorBidi"/>
          <w:sz w:val="20"/>
          <w:szCs w:val="20"/>
        </w:rPr>
        <w:t xml:space="preserve"> NY, </w:t>
      </w:r>
      <w:proofErr w:type="spellStart"/>
      <w:r>
        <w:rPr>
          <w:rFonts w:asciiTheme="minorBidi" w:eastAsia="Times New Roman" w:hAnsiTheme="minorBidi"/>
          <w:sz w:val="20"/>
          <w:szCs w:val="20"/>
        </w:rPr>
        <w:t>Magil</w:t>
      </w:r>
      <w:proofErr w:type="spellEnd"/>
      <w:r>
        <w:rPr>
          <w:rFonts w:asciiTheme="minorBidi" w:eastAsia="Times New Roman" w:hAnsiTheme="minorBidi"/>
          <w:sz w:val="20"/>
          <w:szCs w:val="20"/>
        </w:rPr>
        <w:t xml:space="preserve"> AB.  Proliferative glomerulonephritis with monoclonal IgG deposits secondary to chronic lymphocytic leukemia.  Report of two cases. Nephrol Dial Transplant. 2011;26 (8):2712-4. doi: 10.1093/</w:t>
      </w:r>
      <w:proofErr w:type="spellStart"/>
      <w:r>
        <w:rPr>
          <w:rFonts w:asciiTheme="minorBidi" w:eastAsia="Times New Roman" w:hAnsiTheme="minorBidi"/>
          <w:sz w:val="20"/>
          <w:szCs w:val="20"/>
        </w:rPr>
        <w:t>ndt</w:t>
      </w:r>
      <w:proofErr w:type="spellEnd"/>
      <w:r>
        <w:rPr>
          <w:rFonts w:asciiTheme="minorBidi" w:eastAsia="Times New Roman" w:hAnsiTheme="minorBidi"/>
          <w:sz w:val="20"/>
          <w:szCs w:val="20"/>
        </w:rPr>
        <w:t>/gfr251.</w:t>
      </w:r>
    </w:p>
    <w:p w:rsidR="00B92944" w:rsidRDefault="00B92944" w:rsidP="00B92944">
      <w:pPr>
        <w:spacing w:after="0" w:line="240" w:lineRule="auto"/>
        <w:jc w:val="both"/>
        <w:rPr>
          <w:rFonts w:asciiTheme="minorBidi" w:eastAsia="Times New Roman" w:hAnsiTheme="minorBidi"/>
          <w:sz w:val="20"/>
          <w:szCs w:val="20"/>
        </w:rPr>
      </w:pPr>
    </w:p>
    <w:p w:rsidR="00B92944" w:rsidRDefault="00B92944" w:rsidP="00B92944">
      <w:pPr>
        <w:spacing w:after="0" w:line="240" w:lineRule="auto"/>
        <w:jc w:val="both"/>
        <w:rPr>
          <w:rFonts w:asciiTheme="minorBidi" w:eastAsia="Times New Roman" w:hAnsiTheme="minorBidi"/>
          <w:sz w:val="20"/>
          <w:szCs w:val="20"/>
        </w:rPr>
      </w:pPr>
      <w:r>
        <w:rPr>
          <w:rFonts w:asciiTheme="minorBidi" w:eastAsia="Times New Roman" w:hAnsiTheme="minorBidi"/>
          <w:sz w:val="20"/>
          <w:szCs w:val="20"/>
        </w:rPr>
        <w:t xml:space="preserve">[11] Hussain S. M, Sureshkumar KK. Proliferative glomerulonephritis with monoclonal IgG deposits; an unusual cause of de novo disease in kidney allograft www.nephropathol.com DOI:  10.15171/jnp.2017.36 J Nephropathol. </w:t>
      </w:r>
      <w:r>
        <w:rPr>
          <w:rFonts w:asciiTheme="minorBidi" w:eastAsia="Times New Roman" w:hAnsiTheme="minorBidi"/>
          <w:b/>
          <w:bCs/>
          <w:sz w:val="20"/>
          <w:szCs w:val="20"/>
        </w:rPr>
        <w:t>2017</w:t>
      </w:r>
      <w:r>
        <w:rPr>
          <w:rFonts w:asciiTheme="minorBidi" w:eastAsia="Times New Roman" w:hAnsiTheme="minorBidi"/>
          <w:sz w:val="20"/>
          <w:szCs w:val="20"/>
        </w:rPr>
        <w:t>; 6(3):220-224 Journal of Nephropathology</w:t>
      </w:r>
      <w:r>
        <w:rPr>
          <w:rFonts w:asciiTheme="minorBidi" w:eastAsia="Times New Roman" w:hAnsiTheme="minorBidi"/>
          <w:sz w:val="20"/>
          <w:szCs w:val="20"/>
          <w:rtl/>
        </w:rPr>
        <w:t xml:space="preserve"> </w:t>
      </w:r>
    </w:p>
    <w:p w:rsidR="00B92944" w:rsidRDefault="00B92944" w:rsidP="00B92944">
      <w:pPr>
        <w:spacing w:before="100" w:beforeAutospacing="1" w:after="100" w:afterAutospacing="1" w:line="240" w:lineRule="auto"/>
        <w:rPr>
          <w:rFonts w:asciiTheme="minorBidi" w:eastAsia="Times New Roman" w:hAnsiTheme="minorBidi"/>
          <w:sz w:val="20"/>
          <w:szCs w:val="20"/>
        </w:rPr>
      </w:pPr>
      <w:r>
        <w:rPr>
          <w:rFonts w:asciiTheme="minorBidi" w:eastAsia="Times New Roman" w:hAnsiTheme="minorBidi"/>
          <w:sz w:val="20"/>
          <w:szCs w:val="20"/>
        </w:rPr>
        <w:t xml:space="preserve">[12] </w:t>
      </w:r>
      <w:hyperlink r:id="rId16" w:history="1">
        <w:r>
          <w:rPr>
            <w:rStyle w:val="Hyperlink"/>
            <w:rFonts w:asciiTheme="minorBidi" w:eastAsia="Times New Roman" w:hAnsiTheme="minorBidi"/>
            <w:sz w:val="20"/>
            <w:szCs w:val="20"/>
          </w:rPr>
          <w:t>Rabadi</w:t>
        </w:r>
      </w:hyperlink>
      <w:r>
        <w:rPr>
          <w:rFonts w:asciiTheme="minorBidi" w:eastAsia="Times New Roman" w:hAnsiTheme="minorBidi"/>
          <w:sz w:val="20"/>
          <w:szCs w:val="20"/>
        </w:rPr>
        <w:t xml:space="preserve"> L. A., </w:t>
      </w:r>
      <w:hyperlink r:id="rId17" w:history="1">
        <w:r>
          <w:rPr>
            <w:rStyle w:val="Hyperlink"/>
            <w:rFonts w:asciiTheme="minorBidi" w:eastAsia="Times New Roman" w:hAnsiTheme="minorBidi"/>
            <w:sz w:val="20"/>
            <w:szCs w:val="20"/>
          </w:rPr>
          <w:t xml:space="preserve"> Francis</w:t>
        </w:r>
      </w:hyperlink>
      <w:r>
        <w:rPr>
          <w:rFonts w:asciiTheme="minorBidi" w:eastAsia="Times New Roman" w:hAnsiTheme="minorBidi"/>
          <w:sz w:val="20"/>
          <w:szCs w:val="20"/>
        </w:rPr>
        <w:t xml:space="preserve"> J. M., </w:t>
      </w:r>
      <w:hyperlink r:id="rId18" w:history="1">
        <w:r>
          <w:rPr>
            <w:rStyle w:val="Hyperlink"/>
            <w:rFonts w:asciiTheme="minorBidi" w:eastAsia="Times New Roman" w:hAnsiTheme="minorBidi"/>
            <w:sz w:val="20"/>
            <w:szCs w:val="20"/>
          </w:rPr>
          <w:t xml:space="preserve"> Henderson</w:t>
        </w:r>
      </w:hyperlink>
      <w:r>
        <w:rPr>
          <w:rFonts w:asciiTheme="minorBidi" w:eastAsia="Times New Roman" w:hAnsiTheme="minorBidi"/>
          <w:sz w:val="20"/>
          <w:szCs w:val="20"/>
        </w:rPr>
        <w:t xml:space="preserve"> J., </w:t>
      </w:r>
      <w:hyperlink r:id="rId19" w:history="1">
        <w:r>
          <w:rPr>
            <w:rStyle w:val="Hyperlink"/>
            <w:rFonts w:asciiTheme="minorBidi" w:eastAsia="Times New Roman" w:hAnsiTheme="minorBidi"/>
            <w:sz w:val="20"/>
            <w:szCs w:val="20"/>
          </w:rPr>
          <w:t xml:space="preserve"> Ghai</w:t>
        </w:r>
      </w:hyperlink>
      <w:r>
        <w:rPr>
          <w:rFonts w:asciiTheme="minorBidi" w:eastAsia="Times New Roman" w:hAnsiTheme="minorBidi"/>
          <w:sz w:val="20"/>
          <w:szCs w:val="20"/>
        </w:rPr>
        <w:t xml:space="preserve"> S. </w:t>
      </w:r>
      <w:r>
        <w:rPr>
          <w:rFonts w:asciiTheme="minorBidi" w:eastAsia="Times New Roman" w:hAnsiTheme="minorBidi"/>
          <w:kern w:val="36"/>
          <w:sz w:val="20"/>
          <w:szCs w:val="20"/>
        </w:rPr>
        <w:t>Proliferative glomerulonephritis with monoclonal immunoglobulin in renal allografts.</w:t>
      </w:r>
      <w:r>
        <w:rPr>
          <w:rFonts w:asciiTheme="minorBidi" w:eastAsia="Times New Roman" w:hAnsiTheme="minorBidi"/>
          <w:sz w:val="20"/>
          <w:szCs w:val="20"/>
        </w:rPr>
        <w:t xml:space="preserve"> Clin Kidney J (2015) 8 (6): 722-728. DOI: </w:t>
      </w:r>
      <w:hyperlink r:id="rId20" w:history="1">
        <w:r>
          <w:rPr>
            <w:rStyle w:val="Hyperlink"/>
            <w:rFonts w:asciiTheme="minorBidi" w:eastAsia="Times New Roman" w:hAnsiTheme="minorBidi"/>
            <w:sz w:val="20"/>
            <w:szCs w:val="20"/>
          </w:rPr>
          <w:t>https://doi.org/10.1093/ckj/ sfv105</w:t>
        </w:r>
      </w:hyperlink>
      <w:r>
        <w:rPr>
          <w:rFonts w:asciiTheme="minorBidi" w:eastAsia="Times New Roman" w:hAnsiTheme="minorBidi"/>
          <w:sz w:val="20"/>
          <w:szCs w:val="20"/>
        </w:rPr>
        <w:t xml:space="preserve">    </w:t>
      </w:r>
    </w:p>
    <w:p w:rsidR="00B92944" w:rsidRDefault="00B92944" w:rsidP="00B92944">
      <w:pPr>
        <w:spacing w:before="100" w:beforeAutospacing="1" w:after="100" w:afterAutospacing="1" w:line="240" w:lineRule="auto"/>
        <w:rPr>
          <w:rFonts w:asciiTheme="minorBidi" w:eastAsia="Times New Roman" w:hAnsiTheme="minorBidi"/>
          <w:sz w:val="20"/>
          <w:szCs w:val="20"/>
        </w:rPr>
      </w:pPr>
      <w:r>
        <w:rPr>
          <w:rFonts w:asciiTheme="minorBidi" w:eastAsia="Times New Roman" w:hAnsiTheme="minorBidi"/>
          <w:sz w:val="20"/>
          <w:szCs w:val="20"/>
        </w:rPr>
        <w:lastRenderedPageBreak/>
        <w:t xml:space="preserve">[13] Tsuji T, Miura M, Yanai M, Itami H, Ishii Y, Akimoto M, Fukasawa Y. De Novo Proliferative Glomerulonephritis with Monoclonal IgG Deposits of the IgG1κ Subtype in a Kidney Allograft: Protocol Biopsy Findings Am J Transplant. 2016; 16 (suppl 3). </w:t>
      </w:r>
      <w:hyperlink r:id="rId21" w:history="1">
        <w:r>
          <w:rPr>
            <w:rStyle w:val="Hyperlink"/>
            <w:rFonts w:asciiTheme="minorBidi" w:eastAsia="Times New Roman" w:hAnsiTheme="minorBidi"/>
            <w:sz w:val="20"/>
            <w:szCs w:val="20"/>
          </w:rPr>
          <w:t>http://atcmeetingabstracts.com/abstract/de-novo-proliferative-glomerulonephritis-with-monoclonal-igg-deposits-of-the-igg1-subtype-in-a-kidney-allograft-protocol-</w:t>
        </w:r>
      </w:hyperlink>
      <w:r>
        <w:rPr>
          <w:rFonts w:asciiTheme="minorBidi" w:eastAsia="Times New Roman" w:hAnsiTheme="minorBidi"/>
          <w:sz w:val="20"/>
          <w:szCs w:val="20"/>
        </w:rPr>
        <w:t xml:space="preserve"> biopsy- findings/. Accessed May 28, 2017.  </w:t>
      </w:r>
    </w:p>
    <w:p w:rsidR="00B92944" w:rsidRDefault="00B92944" w:rsidP="00B92944">
      <w:pPr>
        <w:spacing w:before="100" w:beforeAutospacing="1" w:after="100" w:afterAutospacing="1" w:line="240" w:lineRule="auto"/>
        <w:rPr>
          <w:rFonts w:asciiTheme="minorBidi" w:eastAsia="Times New Roman" w:hAnsiTheme="minorBidi"/>
          <w:sz w:val="20"/>
          <w:szCs w:val="20"/>
        </w:rPr>
      </w:pPr>
      <w:r>
        <w:rPr>
          <w:rFonts w:asciiTheme="minorBidi" w:eastAsia="Times New Roman" w:hAnsiTheme="minorBidi"/>
          <w:sz w:val="20"/>
          <w:szCs w:val="20"/>
        </w:rPr>
        <w:t xml:space="preserve">[14] </w:t>
      </w:r>
      <w:hyperlink r:id="rId22" w:history="1">
        <w:r>
          <w:rPr>
            <w:rStyle w:val="Hyperlink"/>
            <w:rFonts w:asciiTheme="minorBidi" w:eastAsia="Times New Roman" w:hAnsiTheme="minorBidi"/>
            <w:sz w:val="20"/>
            <w:szCs w:val="20"/>
          </w:rPr>
          <w:t>Merhi</w:t>
        </w:r>
      </w:hyperlink>
      <w:r>
        <w:rPr>
          <w:rFonts w:asciiTheme="minorBidi" w:eastAsia="Times New Roman" w:hAnsiTheme="minorBidi"/>
          <w:sz w:val="20"/>
          <w:szCs w:val="20"/>
        </w:rPr>
        <w:t xml:space="preserve"> B., </w:t>
      </w:r>
      <w:hyperlink r:id="rId23" w:history="1">
        <w:r>
          <w:rPr>
            <w:rStyle w:val="Hyperlink"/>
            <w:rFonts w:asciiTheme="minorBidi" w:eastAsia="Times New Roman" w:hAnsiTheme="minorBidi"/>
            <w:sz w:val="20"/>
            <w:szCs w:val="20"/>
          </w:rPr>
          <w:t xml:space="preserve"> Patel</w:t>
        </w:r>
      </w:hyperlink>
      <w:r>
        <w:rPr>
          <w:rFonts w:asciiTheme="minorBidi" w:eastAsia="Times New Roman" w:hAnsiTheme="minorBidi"/>
          <w:sz w:val="20"/>
          <w:szCs w:val="20"/>
        </w:rPr>
        <w:t xml:space="preserve"> N., </w:t>
      </w:r>
      <w:hyperlink r:id="rId24" w:history="1">
        <w:r>
          <w:rPr>
            <w:rStyle w:val="Hyperlink"/>
            <w:rFonts w:asciiTheme="minorBidi" w:eastAsia="Times New Roman" w:hAnsiTheme="minorBidi"/>
            <w:sz w:val="20"/>
            <w:szCs w:val="20"/>
          </w:rPr>
          <w:t xml:space="preserve"> Bayliss</w:t>
        </w:r>
      </w:hyperlink>
      <w:r>
        <w:rPr>
          <w:rFonts w:asciiTheme="minorBidi" w:eastAsia="Times New Roman" w:hAnsiTheme="minorBidi"/>
          <w:sz w:val="20"/>
          <w:szCs w:val="20"/>
        </w:rPr>
        <w:t xml:space="preserve"> G., </w:t>
      </w:r>
      <w:hyperlink r:id="rId25" w:history="1">
        <w:r>
          <w:rPr>
            <w:rStyle w:val="Hyperlink"/>
            <w:rFonts w:asciiTheme="minorBidi" w:eastAsia="Times New Roman" w:hAnsiTheme="minorBidi"/>
            <w:sz w:val="20"/>
            <w:szCs w:val="20"/>
          </w:rPr>
          <w:t xml:space="preserve"> Henriksen</w:t>
        </w:r>
      </w:hyperlink>
      <w:r>
        <w:rPr>
          <w:rFonts w:asciiTheme="minorBidi" w:eastAsia="Times New Roman" w:hAnsiTheme="minorBidi"/>
          <w:sz w:val="20"/>
          <w:szCs w:val="20"/>
        </w:rPr>
        <w:t xml:space="preserve"> K. J., </w:t>
      </w:r>
      <w:hyperlink r:id="rId26" w:history="1">
        <w:r>
          <w:rPr>
            <w:rStyle w:val="Hyperlink"/>
            <w:rFonts w:asciiTheme="minorBidi" w:eastAsia="Times New Roman" w:hAnsiTheme="minorBidi"/>
            <w:sz w:val="20"/>
            <w:szCs w:val="20"/>
          </w:rPr>
          <w:t xml:space="preserve"> Gohh</w:t>
        </w:r>
      </w:hyperlink>
      <w:r>
        <w:rPr>
          <w:rFonts w:asciiTheme="minorBidi" w:eastAsia="Times New Roman" w:hAnsiTheme="minorBidi"/>
          <w:sz w:val="20"/>
          <w:szCs w:val="20"/>
        </w:rPr>
        <w:t xml:space="preserve"> R.   </w:t>
      </w:r>
      <w:r>
        <w:rPr>
          <w:rFonts w:asciiTheme="minorBidi" w:eastAsia="Times New Roman" w:hAnsiTheme="minorBidi"/>
          <w:kern w:val="36"/>
          <w:sz w:val="20"/>
          <w:szCs w:val="20"/>
        </w:rPr>
        <w:t xml:space="preserve">Proliferative glomerulonephritis with monoclonal IgG deposits in two kidney allografts successfully treated with rituximab </w:t>
      </w:r>
      <w:r>
        <w:rPr>
          <w:rFonts w:asciiTheme="minorBidi" w:eastAsia="Times New Roman" w:hAnsiTheme="minorBidi"/>
          <w:sz w:val="20"/>
          <w:szCs w:val="20"/>
        </w:rPr>
        <w:t xml:space="preserve">Clin Kidney J sfx001. DOI: </w:t>
      </w:r>
      <w:hyperlink r:id="rId27" w:history="1">
        <w:r>
          <w:rPr>
            <w:rStyle w:val="Hyperlink"/>
            <w:rFonts w:asciiTheme="minorBidi" w:eastAsia="Times New Roman" w:hAnsiTheme="minorBidi"/>
            <w:sz w:val="20"/>
            <w:szCs w:val="20"/>
          </w:rPr>
          <w:t>https://doi.org/10.1093/ckj/sfx001</w:t>
        </w:r>
      </w:hyperlink>
      <w:r>
        <w:rPr>
          <w:rFonts w:asciiTheme="minorBidi" w:eastAsia="Times New Roman" w:hAnsiTheme="minorBidi"/>
          <w:sz w:val="20"/>
          <w:szCs w:val="20"/>
        </w:rPr>
        <w:t>, Published: 22 March 2017</w:t>
      </w:r>
      <w:r>
        <w:rPr>
          <w:rFonts w:asciiTheme="minorBidi" w:eastAsia="Times New Roman" w:hAnsiTheme="minorBidi"/>
          <w:sz w:val="20"/>
          <w:szCs w:val="20"/>
          <w:rtl/>
          <w:lang w:bidi="ar-EG"/>
        </w:rPr>
        <w:t xml:space="preserve"> </w:t>
      </w:r>
    </w:p>
    <w:p w:rsidR="00B92944" w:rsidRDefault="00B92944" w:rsidP="00B92944">
      <w:pPr>
        <w:spacing w:after="0" w:line="240" w:lineRule="auto"/>
        <w:jc w:val="both"/>
        <w:rPr>
          <w:rFonts w:asciiTheme="minorBidi" w:eastAsia="Times New Roman" w:hAnsiTheme="minorBidi"/>
          <w:sz w:val="20"/>
          <w:szCs w:val="20"/>
          <w:rtl/>
        </w:rPr>
      </w:pPr>
      <w:r>
        <w:rPr>
          <w:rFonts w:asciiTheme="minorBidi" w:eastAsia="Times New Roman" w:hAnsiTheme="minorBidi"/>
          <w:sz w:val="20"/>
          <w:szCs w:val="20"/>
        </w:rPr>
        <w:t>[15] Nasr SH, Markowitz GS, Stokes MB, Seshan SV, Valderrama E, Appel GB, et al. Proliferative glomerulonephritis with monoclonal IgG deposits: a distinct entity mimicking immune complex glomerulonephritis. Kidney Int. 2004; 65(1):85-96.</w:t>
      </w:r>
    </w:p>
    <w:p w:rsidR="00641B9B" w:rsidRDefault="00B92944">
      <w:r>
        <w:t>&amp;&amp;&amp;&amp;&amp;&amp;&amp;&amp;&amp;&amp;&amp;&amp;&amp;&amp;&amp;&amp;&amp;&amp;&amp;&amp;&amp;&amp;&amp;&amp;&amp;&amp;&amp;&amp;&amp;&amp;&amp;&amp;&amp;&amp;&amp;&amp;&amp;&amp;&amp;&amp;&amp;&amp;&amp;&amp;&amp;&amp;</w:t>
      </w:r>
    </w:p>
    <w:sectPr w:rsidR="00641B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EA74C38"/>
    <w:multiLevelType w:val="hybridMultilevel"/>
    <w:tmpl w:val="3002385E"/>
    <w:lvl w:ilvl="0" w:tplc="04090011">
      <w:start w:val="1"/>
      <w:numFmt w:val="decimal"/>
      <w:lvlText w:val="%1)"/>
      <w:lvlJc w:val="left"/>
      <w:pPr>
        <w:ind w:left="1710" w:hanging="360"/>
      </w:pPr>
    </w:lvl>
    <w:lvl w:ilvl="1" w:tplc="04090019">
      <w:start w:val="1"/>
      <w:numFmt w:val="lowerLetter"/>
      <w:lvlText w:val="%2."/>
      <w:lvlJc w:val="left"/>
      <w:pPr>
        <w:ind w:left="2430" w:hanging="360"/>
      </w:p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EA5"/>
    <w:rsid w:val="005329F1"/>
    <w:rsid w:val="00641B9B"/>
    <w:rsid w:val="00B92944"/>
    <w:rsid w:val="00FD1EA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76302"/>
  <w15:chartTrackingRefBased/>
  <w15:docId w15:val="{4FB50200-E82D-4F26-B795-2E1C01CD87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294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92944"/>
    <w:rPr>
      <w:color w:val="0000FF"/>
      <w:u w:val="single"/>
    </w:rPr>
  </w:style>
  <w:style w:type="paragraph" w:styleId="ListParagraph">
    <w:name w:val="List Paragraph"/>
    <w:basedOn w:val="Normal"/>
    <w:uiPriority w:val="34"/>
    <w:qFormat/>
    <w:rsid w:val="00B9294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835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 TargetMode="External"/><Relationship Id="rId13" Type="http://schemas.openxmlformats.org/officeDocument/2006/relationships/hyperlink" Target="javascript:;" TargetMode="External"/><Relationship Id="rId18" Type="http://schemas.openxmlformats.org/officeDocument/2006/relationships/hyperlink" Target="javascript:;" TargetMode="External"/><Relationship Id="rId26" Type="http://schemas.openxmlformats.org/officeDocument/2006/relationships/hyperlink" Target="javascript:;" TargetMode="External"/><Relationship Id="rId3" Type="http://schemas.openxmlformats.org/officeDocument/2006/relationships/settings" Target="settings.xml"/><Relationship Id="rId21" Type="http://schemas.openxmlformats.org/officeDocument/2006/relationships/hyperlink" Target="http://atcmeetingabstracts.com/abstract/de-novo-proliferative-glomerulonephritis-with-monoclonal-igg-deposits-of-the-igg1-subtype-in-a-kidney-allograft-protocol-" TargetMode="External"/><Relationship Id="rId7" Type="http://schemas.openxmlformats.org/officeDocument/2006/relationships/hyperlink" Target="javascript:;" TargetMode="External"/><Relationship Id="rId12" Type="http://schemas.openxmlformats.org/officeDocument/2006/relationships/image" Target="media/image2.png"/><Relationship Id="rId17" Type="http://schemas.openxmlformats.org/officeDocument/2006/relationships/hyperlink" Target="javascript:;" TargetMode="External"/><Relationship Id="rId25" Type="http://schemas.openxmlformats.org/officeDocument/2006/relationships/hyperlink" Target="javascript:;" TargetMode="External"/><Relationship Id="rId2" Type="http://schemas.openxmlformats.org/officeDocument/2006/relationships/styles" Target="styles.xml"/><Relationship Id="rId16" Type="http://schemas.openxmlformats.org/officeDocument/2006/relationships/hyperlink" Target="javascript:;" TargetMode="External"/><Relationship Id="rId20" Type="http://schemas.openxmlformats.org/officeDocument/2006/relationships/hyperlink" Target="https://doi.org/10.1093/ckj/%20sfv105"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sciencedirect.com.liverpool.idm.oclc.org/science/article/pii/S0272638611008377" TargetMode="External"/><Relationship Id="rId11" Type="http://schemas.openxmlformats.org/officeDocument/2006/relationships/hyperlink" Target="javascript:;" TargetMode="External"/><Relationship Id="rId24" Type="http://schemas.openxmlformats.org/officeDocument/2006/relationships/hyperlink" Target="javascript:;" TargetMode="External"/><Relationship Id="rId5" Type="http://schemas.openxmlformats.org/officeDocument/2006/relationships/hyperlink" Target="http://www.sciencedirect.com.liverpool.idm.oclc.org/science/article/pii/S0272638611008377" TargetMode="External"/><Relationship Id="rId15" Type="http://schemas.openxmlformats.org/officeDocument/2006/relationships/hyperlink" Target="javascript:;" TargetMode="External"/><Relationship Id="rId23" Type="http://schemas.openxmlformats.org/officeDocument/2006/relationships/hyperlink" Target="javascript:;"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javascript:;" TargetMode="External"/><Relationship Id="rId4" Type="http://schemas.openxmlformats.org/officeDocument/2006/relationships/webSettings" Target="webSettings.xml"/><Relationship Id="rId9" Type="http://schemas.openxmlformats.org/officeDocument/2006/relationships/hyperlink" Target="javascript:;" TargetMode="External"/><Relationship Id="rId14" Type="http://schemas.openxmlformats.org/officeDocument/2006/relationships/image" Target="media/image3.png"/><Relationship Id="rId22" Type="http://schemas.openxmlformats.org/officeDocument/2006/relationships/hyperlink" Target="javascript:;" TargetMode="External"/><Relationship Id="rId27" Type="http://schemas.openxmlformats.org/officeDocument/2006/relationships/hyperlink" Target="https://doi.org/10.1093/ckj/sfx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1856</Words>
  <Characters>10580</Characters>
  <Application>Microsoft Office Word</Application>
  <DocSecurity>0</DocSecurity>
  <Lines>88</Lines>
  <Paragraphs>24</Paragraphs>
  <ScaleCrop>false</ScaleCrop>
  <Company/>
  <LinksUpToDate>false</LinksUpToDate>
  <CharactersWithSpaces>12412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Fedo</dc:creator>
  <cp:keywords/>
  <dc:description/>
  <cp:lastModifiedBy>Dr. Fedo</cp:lastModifiedBy>
  <cp:revision>3</cp:revision>
  <dcterms:created xsi:type="dcterms:W3CDTF">2017-07-17T09:47:00Z</dcterms:created>
  <dcterms:modified xsi:type="dcterms:W3CDTF">2017-07-17T09:57:00Z</dcterms:modified>
</cp:coreProperties>
</file>