
<file path=[Content_Types].xml><?xml version="1.0" encoding="utf-8"?>
<Types xmlns="http://schemas.openxmlformats.org/package/2006/content-types">
  <Override PartName="/word/footnotes.xml" ContentType="application/vnd.openxmlformats-officedocument.wordprocessingml.footnotes+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75F" w:rsidRDefault="0016575F" w:rsidP="0016575F">
      <w:pPr>
        <w:rPr>
          <w:rFonts w:eastAsia="MS PGothic"/>
          <w:b/>
          <w:color w:val="000000"/>
          <w:sz w:val="28"/>
          <w:szCs w:val="28"/>
        </w:rPr>
      </w:pPr>
    </w:p>
    <w:p w:rsidR="0016575F" w:rsidRPr="001209CD" w:rsidRDefault="0016575F" w:rsidP="0016575F">
      <w:pPr>
        <w:jc w:val="center"/>
        <w:rPr>
          <w:rFonts w:asciiTheme="majorHAnsi" w:hAnsiTheme="majorHAnsi"/>
          <w:b/>
          <w:color w:val="000000"/>
          <w:sz w:val="28"/>
          <w:szCs w:val="28"/>
        </w:rPr>
      </w:pPr>
      <w:r w:rsidRPr="001209CD">
        <w:rPr>
          <w:rFonts w:asciiTheme="majorHAnsi" w:hAnsiTheme="majorHAnsi"/>
          <w:b/>
          <w:sz w:val="28"/>
          <w:szCs w:val="28"/>
        </w:rPr>
        <w:t>Relationship between glycated hemoglobin and</w:t>
      </w:r>
      <w:r w:rsidRPr="001209CD">
        <w:rPr>
          <w:rFonts w:asciiTheme="majorHAnsi" w:hAnsiTheme="majorHAnsi"/>
          <w:b/>
          <w:color w:val="000000"/>
          <w:sz w:val="28"/>
          <w:szCs w:val="28"/>
        </w:rPr>
        <w:t xml:space="preserve"> macrominerals in </w:t>
      </w:r>
      <w:r w:rsidRPr="001209CD">
        <w:rPr>
          <w:rFonts w:asciiTheme="majorHAnsi" w:hAnsiTheme="majorHAnsi"/>
          <w:b/>
          <w:color w:val="000000"/>
          <w:sz w:val="28"/>
          <w:szCs w:val="28"/>
          <w:shd w:val="clear" w:color="auto" w:fill="FFFFFF"/>
        </w:rPr>
        <w:t>renal</w:t>
      </w:r>
      <w:r w:rsidRPr="001209CD">
        <w:rPr>
          <w:rFonts w:asciiTheme="majorHAnsi" w:hAnsiTheme="majorHAnsi"/>
          <w:b/>
          <w:color w:val="000000"/>
          <w:sz w:val="28"/>
          <w:szCs w:val="28"/>
        </w:rPr>
        <w:t xml:space="preserve"> dialysis patients of Hail, Saudi Arabia</w:t>
      </w:r>
    </w:p>
    <w:p w:rsidR="0016575F" w:rsidRDefault="0016575F" w:rsidP="0016575F">
      <w:pPr>
        <w:jc w:val="center"/>
        <w:rPr>
          <w:rFonts w:eastAsia="MS PGothic" w:hAnsi="Arial"/>
          <w:color w:val="000000"/>
        </w:rPr>
      </w:pPr>
      <w:r>
        <w:rPr>
          <w:rFonts w:eastAsia="MS PGothic" w:hAnsi="Arial"/>
          <w:color w:val="000000"/>
        </w:rPr>
        <w:br/>
      </w:r>
      <w:r w:rsidRPr="00CA7E2F">
        <w:rPr>
          <w:color w:val="000000"/>
        </w:rPr>
        <w:t>Nawaf OM Alhazmi, Mohammed RM Alshammari, Rasheed HR Alshortan, Ahmad F Alhaysuni</w:t>
      </w:r>
      <w:r>
        <w:rPr>
          <w:color w:val="000000"/>
        </w:rPr>
        <w:t xml:space="preserve">, </w:t>
      </w:r>
      <w:r w:rsidRPr="00CA7E2F">
        <w:rPr>
          <w:color w:val="000000"/>
        </w:rPr>
        <w:t>Jamal M Arif</w:t>
      </w:r>
      <w:r>
        <w:rPr>
          <w:color w:val="000000"/>
        </w:rPr>
        <w:t xml:space="preserve"> and</w:t>
      </w:r>
      <w:r w:rsidRPr="00CA7E2F">
        <w:rPr>
          <w:color w:val="000000"/>
        </w:rPr>
        <w:t xml:space="preserve"> Mohammed Kuddus</w:t>
      </w:r>
    </w:p>
    <w:p w:rsidR="0016575F" w:rsidRPr="00CA7E2F" w:rsidRDefault="0016575F" w:rsidP="0016575F">
      <w:pPr>
        <w:jc w:val="center"/>
        <w:rPr>
          <w:color w:val="000000"/>
        </w:rPr>
      </w:pPr>
      <w:r w:rsidRPr="00CA7E2F">
        <w:rPr>
          <w:color w:val="000000"/>
        </w:rPr>
        <w:t>College of Medicine, University of Hail, PO Box 2440, Hail, Saudi Arabia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6575F" w:rsidRPr="007E7127" w:rsidRDefault="0016575F" w:rsidP="0016575F">
      <w:pPr>
        <w:autoSpaceDE w:val="0"/>
        <w:autoSpaceDN w:val="0"/>
        <w:adjustRightInd w:val="0"/>
        <w:ind w:firstLine="708"/>
        <w:jc w:val="both"/>
        <w:rPr>
          <w:lang w:val="en-NZ"/>
        </w:rPr>
      </w:pPr>
      <w:r w:rsidRPr="007E7127">
        <w:rPr>
          <w:bCs/>
          <w:color w:val="000000"/>
        </w:rPr>
        <w:t>Essential minerals have significant role in the glucose metabolism and energy production inside the cell. Imperfect minerals metabolism have been associated with the increased mortality of renal dialysis patients, but their effects in these patients are less characterized.</w:t>
      </w:r>
      <w:r>
        <w:rPr>
          <w:bCs/>
          <w:color w:val="000000"/>
        </w:rPr>
        <w:t xml:space="preserve"> The literature suggested that</w:t>
      </w:r>
      <w:r w:rsidRPr="00CC08B3">
        <w:rPr>
          <w:bCs/>
          <w:color w:val="000000"/>
        </w:rPr>
        <w:t xml:space="preserve"> the incidence of renal dialysis patients in Saudi Arabia showed rapid increase over the last 3 decades.</w:t>
      </w:r>
      <w:r w:rsidRPr="007E7127">
        <w:rPr>
          <w:bCs/>
          <w:color w:val="000000"/>
        </w:rPr>
        <w:t xml:space="preserve"> </w:t>
      </w:r>
      <w:r w:rsidRPr="007E7127">
        <w:rPr>
          <w:color w:val="000000"/>
        </w:rPr>
        <w:t>In the present study, we examined the correlations between levels of minerals (serum calcium, phosphorus and magnesium) and HbA1c in diabetic and non-diabetic renal dialysis patients of Hail region. Total</w:t>
      </w:r>
      <w:r w:rsidRPr="007E7127">
        <w:rPr>
          <w:bCs/>
          <w:color w:val="000000"/>
        </w:rPr>
        <w:t xml:space="preserve"> 76 blood samples of renal dialysis patients (diabetic and non-diabetic) were analyzed by using biochemical methods. As expected, n</w:t>
      </w:r>
      <w:r w:rsidRPr="007E7127">
        <w:rPr>
          <w:color w:val="000000"/>
        </w:rPr>
        <w:t>o significant relationship was observed (</w:t>
      </w:r>
      <w:r w:rsidRPr="007E7127">
        <w:rPr>
          <w:i/>
          <w:color w:val="000000"/>
        </w:rPr>
        <w:t>p</w:t>
      </w:r>
      <w:r w:rsidRPr="007E7127">
        <w:rPr>
          <w:color w:val="000000"/>
        </w:rPr>
        <w:t xml:space="preserve">&gt;0.05) in baseline parameters such as age, sodium, potassium, bilirubin, creatinine, urea and glucose, in both diabetic and non-diabetic renal dialysis patients. </w:t>
      </w:r>
      <w:r w:rsidRPr="007E7127">
        <w:rPr>
          <w:bCs/>
          <w:color w:val="000000"/>
        </w:rPr>
        <w:t xml:space="preserve">The results also showed that there is no significant relationship between calcium and phosphorus, calcium and magnesium as well as </w:t>
      </w:r>
      <w:r w:rsidRPr="007E7127">
        <w:rPr>
          <w:bCs/>
          <w:color w:val="000000"/>
          <w:lang w:val="en-GB"/>
        </w:rPr>
        <w:t>magnesium and phosphorus</w:t>
      </w:r>
      <w:r w:rsidRPr="007E7127">
        <w:rPr>
          <w:bCs/>
          <w:color w:val="000000"/>
        </w:rPr>
        <w:t xml:space="preserve"> in non-diabetic renal dialysis patients; however, in diabetic patients calcium and phosphorus have minor significant association (</w:t>
      </w:r>
      <w:r w:rsidRPr="007E7127">
        <w:rPr>
          <w:bCs/>
          <w:i/>
          <w:color w:val="000000"/>
        </w:rPr>
        <w:t>p</w:t>
      </w:r>
      <w:r w:rsidRPr="007E7127">
        <w:rPr>
          <w:bCs/>
          <w:color w:val="000000"/>
        </w:rPr>
        <w:t>=0.057). Further, t</w:t>
      </w:r>
      <w:r w:rsidRPr="007E7127">
        <w:rPr>
          <w:bCs/>
          <w:color w:val="000000"/>
          <w:lang w:val="en-GB"/>
        </w:rPr>
        <w:t xml:space="preserve">here was no significant relationship between </w:t>
      </w:r>
      <w:r w:rsidRPr="007E7127">
        <w:rPr>
          <w:bCs/>
          <w:color w:val="000000"/>
        </w:rPr>
        <w:t>phosphorus and HbA1c</w:t>
      </w:r>
      <w:r w:rsidRPr="007E7127">
        <w:rPr>
          <w:bCs/>
          <w:color w:val="000000"/>
          <w:lang w:val="en-GB"/>
        </w:rPr>
        <w:t xml:space="preserve"> in both types of renal dialysis patients. </w:t>
      </w:r>
      <w:r w:rsidRPr="007E7127">
        <w:rPr>
          <w:bCs/>
          <w:color w:val="000000"/>
        </w:rPr>
        <w:t>However, in diabetic renal dialysis patients there was significant relationship (</w:t>
      </w:r>
      <w:r w:rsidRPr="007E7127">
        <w:rPr>
          <w:bCs/>
          <w:i/>
          <w:color w:val="000000"/>
        </w:rPr>
        <w:t>p</w:t>
      </w:r>
      <w:r w:rsidRPr="007E7127">
        <w:rPr>
          <w:bCs/>
          <w:color w:val="000000"/>
        </w:rPr>
        <w:t xml:space="preserve">&lt;0.05) between </w:t>
      </w:r>
      <w:r w:rsidRPr="007E7127">
        <w:rPr>
          <w:bCs/>
          <w:color w:val="000000"/>
          <w:lang w:val="en-GB"/>
        </w:rPr>
        <w:t xml:space="preserve">calcium and HbA1c as well as </w:t>
      </w:r>
      <w:r w:rsidRPr="007E7127">
        <w:rPr>
          <w:bCs/>
          <w:color w:val="000000"/>
        </w:rPr>
        <w:t xml:space="preserve">magnesium and HbA1c. These preliminary results indicate the supportive role of </w:t>
      </w:r>
      <w:r w:rsidRPr="007E7127">
        <w:rPr>
          <w:bCs/>
          <w:color w:val="000000"/>
          <w:lang w:val="en-GB"/>
        </w:rPr>
        <w:t xml:space="preserve">calcium, </w:t>
      </w:r>
      <w:r w:rsidRPr="007E7127">
        <w:rPr>
          <w:bCs/>
          <w:color w:val="000000"/>
        </w:rPr>
        <w:t xml:space="preserve">magnesium and Hb1Ac in </w:t>
      </w:r>
      <w:r>
        <w:rPr>
          <w:bCs/>
          <w:color w:val="000000"/>
        </w:rPr>
        <w:t xml:space="preserve">the </w:t>
      </w:r>
      <w:r w:rsidRPr="007E7127">
        <w:rPr>
          <w:bCs/>
          <w:color w:val="000000"/>
        </w:rPr>
        <w:t>better management of diabetes. The supplementation of calcium and magnesium might be beneficial to manage energy level associated with weakness in the diabetic patients.</w:t>
      </w:r>
    </w:p>
    <w:p w:rsidR="00AE3E37" w:rsidRDefault="00A9710C">
      <w:pPr>
        <w:pStyle w:val="Heading3"/>
        <w:spacing w:before="74"/>
      </w:pPr>
      <w:r>
        <w:rPr>
          <w:b w:val="0"/>
        </w:rPr>
        <w:br w:type="column"/>
      </w:r>
      <w:r>
        <w:rPr>
          <w:color w:val="BF5A14"/>
        </w:rPr>
        <w:lastRenderedPageBreak/>
        <w:t>Image</w:t>
      </w:r>
    </w:p>
    <w:p w:rsidR="00AE3E37" w:rsidRDefault="0016575F">
      <w:pPr>
        <w:pStyle w:val="BodyText"/>
        <w:spacing w:before="2"/>
        <w:rPr>
          <w:rFonts w:ascii="Arial"/>
          <w:b/>
          <w:sz w:val="16"/>
        </w:rPr>
      </w:pPr>
      <w:r w:rsidRPr="0016575F">
        <w:rPr>
          <w:noProof/>
          <w:sz w:val="22"/>
          <w:szCs w:val="22"/>
          <w:lang w:val="en-GB" w:eastAsia="en-GB"/>
        </w:rPr>
        <w:drawing>
          <wp:inline distT="0" distB="0" distL="0" distR="0">
            <wp:extent cx="3528822" cy="2187245"/>
            <wp:effectExtent l="19050" t="0" r="14478" b="3505"/>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420201" w:rsidRDefault="00420201" w:rsidP="005973B9">
      <w:pPr>
        <w:pStyle w:val="ListParagraph"/>
        <w:numPr>
          <w:ilvl w:val="0"/>
          <w:numId w:val="3"/>
        </w:numPr>
        <w:tabs>
          <w:tab w:val="left" w:pos="384"/>
        </w:tabs>
        <w:spacing w:line="216" w:lineRule="exact"/>
        <w:ind w:right="137" w:hanging="283"/>
        <w:rPr>
          <w:sz w:val="18"/>
        </w:rPr>
      </w:pPr>
      <w:r>
        <w:rPr>
          <w:sz w:val="18"/>
        </w:rPr>
        <w:t xml:space="preserve">Hussain G, Nawaf O (2017) </w:t>
      </w:r>
      <w:r w:rsidRPr="00420201">
        <w:rPr>
          <w:sz w:val="18"/>
        </w:rPr>
        <w:t>Traditional Herbal and Non-Steroidal Anti-Inflammatory Analgesic (Nsaias) Usage and its Association with Chronic Kidney Disease (CKD) in Northern Saudi Arabia</w:t>
      </w:r>
      <w:r>
        <w:rPr>
          <w:sz w:val="18"/>
        </w:rPr>
        <w:t>.</w:t>
      </w:r>
    </w:p>
    <w:p w:rsidR="00420201" w:rsidRDefault="00420201" w:rsidP="005973B9">
      <w:pPr>
        <w:pStyle w:val="ListParagraph"/>
        <w:numPr>
          <w:ilvl w:val="0"/>
          <w:numId w:val="3"/>
        </w:numPr>
        <w:tabs>
          <w:tab w:val="left" w:pos="384"/>
        </w:tabs>
        <w:spacing w:line="216" w:lineRule="exact"/>
        <w:ind w:right="138" w:hanging="283"/>
        <w:rPr>
          <w:sz w:val="18"/>
        </w:rPr>
      </w:pPr>
      <w:r>
        <w:rPr>
          <w:sz w:val="18"/>
        </w:rPr>
        <w:t>Hussain G, Nawaf O (2017)</w:t>
      </w:r>
      <w:r>
        <w:rPr>
          <w:b/>
          <w:bCs/>
          <w:sz w:val="18"/>
        </w:rPr>
        <w:t xml:space="preserve"> </w:t>
      </w:r>
      <w:r w:rsidRPr="00420201">
        <w:rPr>
          <w:sz w:val="18"/>
        </w:rPr>
        <w:t>Assessment of Breast Cancer Awareness Level among Saudi Medical Students</w:t>
      </w:r>
      <w:r>
        <w:rPr>
          <w:sz w:val="18"/>
        </w:rPr>
        <w:t>.</w:t>
      </w:r>
    </w:p>
    <w:p w:rsidR="00420201" w:rsidRDefault="00420201" w:rsidP="005973B9">
      <w:pPr>
        <w:pStyle w:val="ListParagraph"/>
        <w:numPr>
          <w:ilvl w:val="0"/>
          <w:numId w:val="3"/>
        </w:numPr>
        <w:tabs>
          <w:tab w:val="left" w:pos="384"/>
        </w:tabs>
        <w:spacing w:before="92" w:line="218" w:lineRule="exact"/>
        <w:ind w:hanging="283"/>
        <w:rPr>
          <w:sz w:val="18"/>
        </w:rPr>
      </w:pPr>
      <w:r>
        <w:rPr>
          <w:sz w:val="18"/>
        </w:rPr>
        <w:t xml:space="preserve">Jamal M, Nawaf O (2016) </w:t>
      </w:r>
      <w:r w:rsidRPr="00420201">
        <w:rPr>
          <w:sz w:val="18"/>
        </w:rPr>
        <w:t>Correlation of minerals and glycated hemoglobin (HbA1c) in renal dialysis patients of Hail, Saudi Arabia</w:t>
      </w:r>
      <w:r>
        <w:rPr>
          <w:sz w:val="18"/>
        </w:rPr>
        <w:t>.</w:t>
      </w:r>
    </w:p>
    <w:p w:rsidR="00420201" w:rsidRDefault="001209CD" w:rsidP="001209CD">
      <w:pPr>
        <w:pStyle w:val="ListParagraph"/>
        <w:numPr>
          <w:ilvl w:val="0"/>
          <w:numId w:val="3"/>
        </w:numPr>
        <w:tabs>
          <w:tab w:val="left" w:pos="384"/>
        </w:tabs>
        <w:spacing w:before="92" w:line="218" w:lineRule="exact"/>
        <w:ind w:hanging="283"/>
        <w:rPr>
          <w:sz w:val="18"/>
        </w:rPr>
      </w:pPr>
      <w:r w:rsidRPr="00420201">
        <w:rPr>
          <w:sz w:val="18"/>
        </w:rPr>
        <w:t>Mohammed Kuddus</w:t>
      </w:r>
      <w:r>
        <w:rPr>
          <w:sz w:val="18"/>
        </w:rPr>
        <w:t>, Nawaf O (2016)</w:t>
      </w:r>
      <w:r w:rsidRPr="00420201">
        <w:rPr>
          <w:sz w:val="18"/>
        </w:rPr>
        <w:t xml:space="preserve"> </w:t>
      </w:r>
      <w:r w:rsidR="00420201" w:rsidRPr="00420201">
        <w:rPr>
          <w:sz w:val="18"/>
        </w:rPr>
        <w:t>Glyca</w:t>
      </w:r>
      <w:r>
        <w:rPr>
          <w:sz w:val="18"/>
        </w:rPr>
        <w:t>ted Hemoglobin As a Risk Factor.</w:t>
      </w:r>
    </w:p>
    <w:p w:rsidR="001209CD" w:rsidRDefault="001209CD" w:rsidP="001209CD">
      <w:pPr>
        <w:pStyle w:val="ListParagraph"/>
        <w:tabs>
          <w:tab w:val="left" w:pos="384"/>
        </w:tabs>
        <w:spacing w:before="92" w:line="218" w:lineRule="exact"/>
        <w:ind w:firstLine="0"/>
        <w:rPr>
          <w:sz w:val="18"/>
        </w:rPr>
      </w:pPr>
    </w:p>
    <w:p w:rsidR="005973B9" w:rsidRDefault="005973B9" w:rsidP="00420201">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07D7E">
      <w:pPr>
        <w:pStyle w:val="BodyText"/>
        <w:spacing w:line="40" w:lineRule="exact"/>
        <w:ind w:left="2202"/>
        <w:rPr>
          <w:rFonts w:ascii="Calibri"/>
          <w:sz w:val="4"/>
        </w:rPr>
      </w:pPr>
      <w:r w:rsidRPr="00D07D7E">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16575F" w:rsidP="0016575F">
      <w:pPr>
        <w:spacing w:before="92"/>
        <w:ind w:right="4234"/>
        <w:rPr>
          <w:rFonts w:ascii="Arial"/>
          <w:color w:val="BF5A14"/>
        </w:rPr>
      </w:pPr>
      <w:r>
        <w:rPr>
          <w:noProof/>
          <w:lang w:val="en-GB" w:eastAsia="en-GB"/>
        </w:rPr>
        <w:drawing>
          <wp:inline distT="0" distB="0" distL="0" distR="0">
            <wp:extent cx="804672" cy="804672"/>
            <wp:effectExtent l="19050" t="0" r="0" b="0"/>
            <wp:docPr id="2" name="Picture 2" descr="AAEAAQAAAAAAAAZpAAAAJDRkMzVmNTgyLWIwNTgtNDFjMS04YmI4LTMzYjgwMzFlMTk3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EAAQAAAAAAAAZpAAAAJDRkMzVmNTgyLWIwNTgtNDFjMS04YmI4LTMzYjgwMzFlMTk3YQ"/>
                    <pic:cNvPicPr>
                      <a:picLocks noChangeAspect="1" noChangeArrowheads="1"/>
                    </pic:cNvPicPr>
                  </pic:nvPicPr>
                  <pic:blipFill>
                    <a:blip r:embed="rId10" cstate="print"/>
                    <a:srcRect/>
                    <a:stretch>
                      <a:fillRect/>
                    </a:stretch>
                  </pic:blipFill>
                  <pic:spPr bwMode="auto">
                    <a:xfrm>
                      <a:off x="0" y="0"/>
                      <a:ext cx="805266" cy="805266"/>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16575F" w:rsidRDefault="0016575F" w:rsidP="00404E5B">
      <w:pPr>
        <w:spacing w:before="92"/>
        <w:ind w:right="4234"/>
        <w:rPr>
          <w:rFonts w:ascii="Arial"/>
        </w:rPr>
      </w:pPr>
    </w:p>
    <w:p w:rsidR="0016575F" w:rsidRDefault="0016575F" w:rsidP="0016575F">
      <w:pPr>
        <w:jc w:val="both"/>
      </w:pPr>
      <w:r>
        <w:rPr>
          <w:lang w:val="en-NZ"/>
        </w:rPr>
        <w:t>Nawaf Oudah M Alhazmi</w:t>
      </w:r>
      <w:r>
        <w:t xml:space="preserve"> is a medical student at College of Medicine, University of Hail, Hail, Kingdom of Saudi Arabia.</w:t>
      </w:r>
    </w:p>
    <w:p w:rsidR="00AE3E37" w:rsidRDefault="00A9710C">
      <w:pPr>
        <w:spacing w:before="41" w:line="154" w:lineRule="exact"/>
        <w:ind w:left="213" w:right="231"/>
        <w:jc w:val="both"/>
        <w:rPr>
          <w:rFonts w:ascii="Arial"/>
          <w:sz w:val="14"/>
        </w:rPr>
      </w:pPr>
      <w:r>
        <w:rPr>
          <w:rFonts w:ascii="Arial"/>
          <w:sz w:val="14"/>
        </w:rPr>
        <w:t>.</w:t>
      </w:r>
    </w:p>
    <w:p w:rsidR="00AE3E37" w:rsidRDefault="00A9710C" w:rsidP="0016575F">
      <w:pPr>
        <w:spacing w:before="62"/>
        <w:ind w:left="4217" w:right="4235"/>
        <w:jc w:val="center"/>
        <w:rPr>
          <w:rFonts w:ascii="Arial"/>
          <w:sz w:val="14"/>
        </w:rPr>
      </w:pPr>
      <w:r>
        <w:rPr>
          <w:rFonts w:ascii="Arial"/>
          <w:sz w:val="14"/>
        </w:rPr>
        <w:t xml:space="preserve">Email: </w:t>
      </w:r>
      <w:r w:rsidR="0016575F">
        <w:rPr>
          <w:rFonts w:ascii="Arial"/>
          <w:sz w:val="14"/>
        </w:rPr>
        <w:t>Nawaf415@hotmail.com</w:t>
      </w:r>
    </w:p>
    <w:p w:rsidR="00AE3E37" w:rsidRDefault="00D07D7E">
      <w:pPr>
        <w:pStyle w:val="BodyText"/>
        <w:spacing w:before="2"/>
        <w:rPr>
          <w:rFonts w:ascii="Arial"/>
          <w:sz w:val="19"/>
        </w:rPr>
      </w:pPr>
      <w:r w:rsidRPr="00D07D7E">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1209CD">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D33" w:rsidRDefault="004A7D33">
      <w:r>
        <w:separator/>
      </w:r>
    </w:p>
  </w:endnote>
  <w:endnote w:type="continuationSeparator" w:id="1">
    <w:p w:rsidR="004A7D33" w:rsidRDefault="004A7D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07D7E">
    <w:pPr>
      <w:pStyle w:val="BodyText"/>
      <w:spacing w:line="14" w:lineRule="auto"/>
      <w:rPr>
        <w:sz w:val="20"/>
      </w:rPr>
    </w:pPr>
    <w:r w:rsidRPr="00D07D7E">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rsidP="0016575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w:r>
    <w:r w:rsidRPr="00D07D7E">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07D7E">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16575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D33" w:rsidRDefault="004A7D33">
      <w:r>
        <w:separator/>
      </w:r>
    </w:p>
  </w:footnote>
  <w:footnote w:type="continuationSeparator" w:id="1">
    <w:p w:rsidR="004A7D33" w:rsidRDefault="004A7D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07D7E">
    <w:pPr>
      <w:pStyle w:val="BodyText"/>
      <w:spacing w:line="14" w:lineRule="auto"/>
      <w:rPr>
        <w:sz w:val="20"/>
      </w:rPr>
    </w:pPr>
    <w:r w:rsidRPr="00D07D7E">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D07D7E">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09CD"/>
    <w:rsid w:val="001263DF"/>
    <w:rsid w:val="0016575F"/>
    <w:rsid w:val="00292ED9"/>
    <w:rsid w:val="00404E5B"/>
    <w:rsid w:val="00414F7B"/>
    <w:rsid w:val="00420201"/>
    <w:rsid w:val="004355DC"/>
    <w:rsid w:val="004749B4"/>
    <w:rsid w:val="00494130"/>
    <w:rsid w:val="004A7D33"/>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07D7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kuddus\Desktop\SSM%20421%20(2015-16)\Manuscript\76%20sample\modified%20graphs.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369022390719691"/>
          <c:y val="5.6393739503814121E-2"/>
          <c:w val="0.80340442629856601"/>
          <c:h val="0.73912786119177964"/>
        </c:manualLayout>
      </c:layout>
      <c:scatterChart>
        <c:scatterStyle val="lineMarker"/>
        <c:ser>
          <c:idx val="0"/>
          <c:order val="0"/>
          <c:tx>
            <c:strRef>
              <c:f>Sheet1!$C$169</c:f>
              <c:strCache>
                <c:ptCount val="1"/>
                <c:pt idx="0">
                  <c:v>Magnesium</c:v>
                </c:pt>
              </c:strCache>
            </c:strRef>
          </c:tx>
          <c:spPr>
            <a:ln w="28575">
              <a:noFill/>
            </a:ln>
          </c:spPr>
          <c:trendline>
            <c:trendlineType val="linear"/>
            <c:dispRSqr val="1"/>
            <c:dispEq val="1"/>
            <c:trendlineLbl>
              <c:layout>
                <c:manualLayout>
                  <c:x val="9.1066394478468066E-2"/>
                  <c:y val="-0.40783773871511275"/>
                </c:manualLayout>
              </c:layout>
              <c:tx>
                <c:rich>
                  <a:bodyPr/>
                  <a:lstStyle/>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mn-lt"/>
                        <a:ea typeface="+mn-ea"/>
                        <a:cs typeface="+mn-cs"/>
                      </a:defRPr>
                    </a:pPr>
                    <a:r>
                      <a:rPr lang="en-US" sz="1800" b="1" i="0" baseline="0">
                        <a:effectLst/>
                      </a:rPr>
                      <a:t>(B)</a:t>
                    </a:r>
                    <a:endParaRPr lang="en-US">
                      <a:effectLst/>
                    </a:endParaRPr>
                  </a:p>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mn-lt"/>
                        <a:ea typeface="+mn-ea"/>
                        <a:cs typeface="+mn-cs"/>
                      </a:defRPr>
                    </a:pPr>
                    <a:r>
                      <a:rPr lang="en-US" baseline="0"/>
                      <a:t>y = -0.0283x + 0.8487
R² = 0.1122</a:t>
                    </a:r>
                  </a:p>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mn-lt"/>
                        <a:ea typeface="+mn-ea"/>
                        <a:cs typeface="+mn-cs"/>
                      </a:defRPr>
                    </a:pPr>
                    <a:r>
                      <a:rPr lang="en-US" baseline="0"/>
                      <a:t>R = 0.3349</a:t>
                    </a:r>
                  </a:p>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mn-lt"/>
                        <a:ea typeface="+mn-ea"/>
                        <a:cs typeface="+mn-cs"/>
                      </a:defRPr>
                    </a:pPr>
                    <a:r>
                      <a:rPr lang="en-US" baseline="0"/>
                      <a:t>p = 0.0398</a:t>
                    </a:r>
                    <a:endParaRPr lang="en-US"/>
                  </a:p>
                </c:rich>
              </c:tx>
              <c:numFmt formatCode="General" sourceLinked="0"/>
            </c:trendlineLbl>
          </c:trendline>
          <c:xVal>
            <c:numRef>
              <c:f>Sheet1!$B$170:$B$207</c:f>
              <c:numCache>
                <c:formatCode>General</c:formatCode>
                <c:ptCount val="38"/>
                <c:pt idx="0">
                  <c:v>7.9</c:v>
                </c:pt>
                <c:pt idx="1">
                  <c:v>11.43</c:v>
                </c:pt>
                <c:pt idx="2">
                  <c:v>6.1099999999999985</c:v>
                </c:pt>
                <c:pt idx="3">
                  <c:v>14.28</c:v>
                </c:pt>
                <c:pt idx="4">
                  <c:v>7.24</c:v>
                </c:pt>
                <c:pt idx="5">
                  <c:v>7.18</c:v>
                </c:pt>
                <c:pt idx="6">
                  <c:v>6.8</c:v>
                </c:pt>
                <c:pt idx="7">
                  <c:v>7.3199999999999985</c:v>
                </c:pt>
                <c:pt idx="8">
                  <c:v>6.39</c:v>
                </c:pt>
                <c:pt idx="9">
                  <c:v>6.08</c:v>
                </c:pt>
                <c:pt idx="10">
                  <c:v>6.95</c:v>
                </c:pt>
                <c:pt idx="11">
                  <c:v>8.5500000000000007</c:v>
                </c:pt>
                <c:pt idx="12">
                  <c:v>6.5</c:v>
                </c:pt>
                <c:pt idx="13">
                  <c:v>15.360000000000019</c:v>
                </c:pt>
                <c:pt idx="14">
                  <c:v>7.23</c:v>
                </c:pt>
                <c:pt idx="15">
                  <c:v>7.25</c:v>
                </c:pt>
                <c:pt idx="16">
                  <c:v>6.33</c:v>
                </c:pt>
                <c:pt idx="17">
                  <c:v>7.73</c:v>
                </c:pt>
                <c:pt idx="18">
                  <c:v>7.08</c:v>
                </c:pt>
                <c:pt idx="19">
                  <c:v>16.8</c:v>
                </c:pt>
                <c:pt idx="20">
                  <c:v>9.5</c:v>
                </c:pt>
                <c:pt idx="21">
                  <c:v>6.6</c:v>
                </c:pt>
                <c:pt idx="22">
                  <c:v>12.2</c:v>
                </c:pt>
                <c:pt idx="23">
                  <c:v>20.3</c:v>
                </c:pt>
                <c:pt idx="24">
                  <c:v>16.600000000000001</c:v>
                </c:pt>
                <c:pt idx="25">
                  <c:v>6.1</c:v>
                </c:pt>
                <c:pt idx="26">
                  <c:v>6.6</c:v>
                </c:pt>
                <c:pt idx="27">
                  <c:v>7.5</c:v>
                </c:pt>
                <c:pt idx="28">
                  <c:v>16.399999999999999</c:v>
                </c:pt>
                <c:pt idx="29">
                  <c:v>11.1</c:v>
                </c:pt>
                <c:pt idx="30">
                  <c:v>6.3</c:v>
                </c:pt>
                <c:pt idx="31">
                  <c:v>10.200000000000001</c:v>
                </c:pt>
                <c:pt idx="32">
                  <c:v>9</c:v>
                </c:pt>
                <c:pt idx="33">
                  <c:v>9.2000000000000011</c:v>
                </c:pt>
                <c:pt idx="34">
                  <c:v>10.1</c:v>
                </c:pt>
                <c:pt idx="35">
                  <c:v>19.600000000000001</c:v>
                </c:pt>
                <c:pt idx="36">
                  <c:v>11.2</c:v>
                </c:pt>
                <c:pt idx="37">
                  <c:v>16.8</c:v>
                </c:pt>
              </c:numCache>
            </c:numRef>
          </c:xVal>
          <c:yVal>
            <c:numRef>
              <c:f>Sheet1!$C$170:$C$207</c:f>
              <c:numCache>
                <c:formatCode>General</c:formatCode>
                <c:ptCount val="38"/>
                <c:pt idx="0">
                  <c:v>0.79</c:v>
                </c:pt>
                <c:pt idx="1">
                  <c:v>1.06</c:v>
                </c:pt>
                <c:pt idx="2">
                  <c:v>0.76000000000000134</c:v>
                </c:pt>
                <c:pt idx="3">
                  <c:v>1.25</c:v>
                </c:pt>
                <c:pt idx="4">
                  <c:v>0.78</c:v>
                </c:pt>
                <c:pt idx="5">
                  <c:v>0.28000000000000008</c:v>
                </c:pt>
                <c:pt idx="6">
                  <c:v>0.87000000000000122</c:v>
                </c:pt>
                <c:pt idx="7">
                  <c:v>0.78</c:v>
                </c:pt>
                <c:pt idx="8">
                  <c:v>0.73000000000000065</c:v>
                </c:pt>
                <c:pt idx="9">
                  <c:v>0.78</c:v>
                </c:pt>
                <c:pt idx="10">
                  <c:v>1.26</c:v>
                </c:pt>
                <c:pt idx="11">
                  <c:v>1.01</c:v>
                </c:pt>
                <c:pt idx="12">
                  <c:v>0.82000000000000062</c:v>
                </c:pt>
                <c:pt idx="13">
                  <c:v>1</c:v>
                </c:pt>
                <c:pt idx="14">
                  <c:v>0.63000000000000134</c:v>
                </c:pt>
                <c:pt idx="15">
                  <c:v>1.02</c:v>
                </c:pt>
                <c:pt idx="16">
                  <c:v>0.78</c:v>
                </c:pt>
                <c:pt idx="17">
                  <c:v>0.73000000000000065</c:v>
                </c:pt>
                <c:pt idx="18">
                  <c:v>0.97000000000000064</c:v>
                </c:pt>
                <c:pt idx="19">
                  <c:v>0.2</c:v>
                </c:pt>
                <c:pt idx="20">
                  <c:v>0.30000000000000032</c:v>
                </c:pt>
                <c:pt idx="21">
                  <c:v>0.4</c:v>
                </c:pt>
                <c:pt idx="22">
                  <c:v>0.30000000000000032</c:v>
                </c:pt>
                <c:pt idx="23">
                  <c:v>0.1</c:v>
                </c:pt>
                <c:pt idx="24">
                  <c:v>0.1</c:v>
                </c:pt>
                <c:pt idx="25">
                  <c:v>0.1</c:v>
                </c:pt>
                <c:pt idx="26">
                  <c:v>0.2</c:v>
                </c:pt>
                <c:pt idx="27">
                  <c:v>0.2</c:v>
                </c:pt>
                <c:pt idx="28">
                  <c:v>0.4</c:v>
                </c:pt>
                <c:pt idx="29">
                  <c:v>0.2</c:v>
                </c:pt>
                <c:pt idx="30">
                  <c:v>0.8</c:v>
                </c:pt>
                <c:pt idx="31">
                  <c:v>0.4</c:v>
                </c:pt>
                <c:pt idx="32">
                  <c:v>0.2</c:v>
                </c:pt>
                <c:pt idx="33">
                  <c:v>0.30000000000000032</c:v>
                </c:pt>
                <c:pt idx="34">
                  <c:v>0.1</c:v>
                </c:pt>
                <c:pt idx="35">
                  <c:v>0.30000000000000032</c:v>
                </c:pt>
                <c:pt idx="36">
                  <c:v>0.4</c:v>
                </c:pt>
                <c:pt idx="37">
                  <c:v>0.30000000000000032</c:v>
                </c:pt>
              </c:numCache>
            </c:numRef>
          </c:yVal>
          <c:extLst xmlns:c16r2="http://schemas.microsoft.com/office/drawing/2015/06/chart"/>
        </c:ser>
        <c:axId val="145902976"/>
        <c:axId val="151442944"/>
      </c:scatterChart>
      <c:valAx>
        <c:axId val="145902976"/>
        <c:scaling>
          <c:orientation val="minMax"/>
          <c:max val="21"/>
          <c:min val="5"/>
        </c:scaling>
        <c:axPos val="b"/>
        <c:title>
          <c:tx>
            <c:rich>
              <a:bodyPr/>
              <a:lstStyle/>
              <a:p>
                <a:pPr>
                  <a:defRPr lang="en-US"/>
                </a:pPr>
                <a:r>
                  <a:rPr lang="en-US" sz="1000" b="1" i="0" baseline="0">
                    <a:effectLst/>
                    <a:latin typeface="+mn-lt"/>
                  </a:rPr>
                  <a:t>HbA1c (%)</a:t>
                </a:r>
                <a:endParaRPr lang="en-US" sz="1000">
                  <a:effectLst/>
                  <a:latin typeface="+mn-lt"/>
                </a:endParaRPr>
              </a:p>
            </c:rich>
          </c:tx>
        </c:title>
        <c:numFmt formatCode="General" sourceLinked="1"/>
        <c:tickLblPos val="nextTo"/>
        <c:txPr>
          <a:bodyPr/>
          <a:lstStyle/>
          <a:p>
            <a:pPr>
              <a:defRPr lang="en-US"/>
            </a:pPr>
            <a:endParaRPr lang="en-US"/>
          </a:p>
        </c:txPr>
        <c:crossAx val="151442944"/>
        <c:crosses val="autoZero"/>
        <c:crossBetween val="midCat"/>
        <c:majorUnit val="2"/>
      </c:valAx>
      <c:valAx>
        <c:axId val="151442944"/>
        <c:scaling>
          <c:orientation val="minMax"/>
        </c:scaling>
        <c:axPos val="l"/>
        <c:title>
          <c:tx>
            <c:rich>
              <a:bodyPr/>
              <a:lstStyle/>
              <a:p>
                <a:pPr>
                  <a:defRPr lang="en-US"/>
                </a:pPr>
                <a:r>
                  <a:rPr lang="en-US" sz="1000" b="1" i="0" baseline="0">
                    <a:effectLst/>
                    <a:latin typeface="+mn-lt"/>
                  </a:rPr>
                  <a:t>Magnesium (mmol/L)</a:t>
                </a:r>
                <a:endParaRPr lang="en-US" sz="1000">
                  <a:effectLst/>
                  <a:latin typeface="+mn-lt"/>
                </a:endParaRPr>
              </a:p>
            </c:rich>
          </c:tx>
        </c:title>
        <c:numFmt formatCode="General" sourceLinked="1"/>
        <c:tickLblPos val="nextTo"/>
        <c:txPr>
          <a:bodyPr/>
          <a:lstStyle/>
          <a:p>
            <a:pPr>
              <a:defRPr lang="en-US"/>
            </a:pPr>
            <a:endParaRPr lang="en-US"/>
          </a:p>
        </c:txPr>
        <c:crossAx val="145902976"/>
        <c:crosses val="autoZero"/>
        <c:crossBetween val="midCat"/>
      </c:valAx>
      <c:spPr>
        <a:noFill/>
        <a:ln w="25400">
          <a:noFill/>
        </a:ln>
      </c:spPr>
    </c:plotArea>
    <c:plotVisOnly val="1"/>
    <c:dispBlanksAs val="gap"/>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6</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NAWAF</cp:lastModifiedBy>
  <cp:revision>2</cp:revision>
  <dcterms:created xsi:type="dcterms:W3CDTF">2017-02-18T23:03:00Z</dcterms:created>
  <dcterms:modified xsi:type="dcterms:W3CDTF">2017-02-18T23:03:00Z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