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52E" w:rsidRDefault="00F4152E" w:rsidP="00F4152E">
      <w:pPr>
        <w:spacing w:after="0" w:line="240" w:lineRule="auto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</w:rPr>
        <w:t xml:space="preserve">Dr Alia </w:t>
      </w:r>
      <w:proofErr w:type="spellStart"/>
      <w:r>
        <w:rPr>
          <w:rFonts w:asciiTheme="minorBidi" w:hAnsiTheme="minorBidi"/>
          <w:b/>
          <w:bCs/>
          <w:sz w:val="24"/>
          <w:szCs w:val="24"/>
        </w:rPr>
        <w:t>Albawardi</w:t>
      </w:r>
      <w:proofErr w:type="spellEnd"/>
    </w:p>
    <w:p w:rsidR="00F4152E" w:rsidRDefault="00F4152E" w:rsidP="00F4152E">
      <w:pPr>
        <w:spacing w:after="0" w:line="240" w:lineRule="auto"/>
        <w:rPr>
          <w:rFonts w:asciiTheme="minorBidi" w:hAnsiTheme="minorBidi"/>
          <w:b/>
          <w:bCs/>
          <w:sz w:val="24"/>
          <w:szCs w:val="24"/>
        </w:rPr>
      </w:pPr>
    </w:p>
    <w:p w:rsidR="00A6479F" w:rsidRPr="00F4152E" w:rsidRDefault="00F4152E" w:rsidP="00F4152E">
      <w:pPr>
        <w:spacing w:after="0" w:line="240" w:lineRule="auto"/>
        <w:rPr>
          <w:rFonts w:asciiTheme="minorBidi" w:hAnsiTheme="minorBidi"/>
          <w:b/>
          <w:bCs/>
          <w:sz w:val="24"/>
          <w:szCs w:val="24"/>
        </w:rPr>
      </w:pPr>
      <w:r w:rsidRPr="00F4152E">
        <w:rPr>
          <w:rFonts w:asciiTheme="minorBidi" w:hAnsiTheme="minorBidi"/>
          <w:b/>
          <w:bCs/>
          <w:sz w:val="24"/>
          <w:szCs w:val="24"/>
        </w:rPr>
        <w:t xml:space="preserve">Title:  </w:t>
      </w:r>
      <w:r w:rsidR="00CB38E4" w:rsidRPr="00F4152E">
        <w:rPr>
          <w:rFonts w:asciiTheme="minorBidi" w:hAnsiTheme="minorBidi"/>
          <w:b/>
          <w:bCs/>
          <w:sz w:val="24"/>
          <w:szCs w:val="24"/>
        </w:rPr>
        <w:t xml:space="preserve">Challenging Aspects of the Banff Classification </w:t>
      </w:r>
    </w:p>
    <w:p w:rsidR="00CB38E4" w:rsidRPr="00F4152E" w:rsidRDefault="00CB38E4" w:rsidP="00F4152E">
      <w:pPr>
        <w:spacing w:after="0" w:line="240" w:lineRule="auto"/>
        <w:rPr>
          <w:rFonts w:asciiTheme="minorBidi" w:hAnsiTheme="minorBidi"/>
          <w:b/>
          <w:bCs/>
          <w:sz w:val="24"/>
          <w:szCs w:val="24"/>
        </w:rPr>
      </w:pPr>
    </w:p>
    <w:p w:rsidR="00CB38E4" w:rsidRPr="00F4152E" w:rsidRDefault="00CB38E4" w:rsidP="00F4152E">
      <w:pPr>
        <w:spacing w:after="0" w:line="240" w:lineRule="auto"/>
        <w:rPr>
          <w:rFonts w:asciiTheme="minorBidi" w:hAnsiTheme="minorBidi"/>
          <w:b/>
          <w:bCs/>
          <w:sz w:val="24"/>
          <w:szCs w:val="24"/>
        </w:rPr>
      </w:pPr>
      <w:r w:rsidRPr="00F4152E">
        <w:rPr>
          <w:rFonts w:asciiTheme="minorBidi" w:hAnsiTheme="minorBidi"/>
          <w:b/>
          <w:bCs/>
          <w:sz w:val="24"/>
          <w:szCs w:val="24"/>
        </w:rPr>
        <w:t>Abstract</w:t>
      </w:r>
    </w:p>
    <w:p w:rsidR="00CB38E4" w:rsidRPr="00F4152E" w:rsidRDefault="00CB38E4" w:rsidP="00F4152E">
      <w:pPr>
        <w:spacing w:after="0" w:line="240" w:lineRule="auto"/>
        <w:rPr>
          <w:rFonts w:asciiTheme="minorBidi" w:hAnsiTheme="minorBidi"/>
          <w:sz w:val="24"/>
          <w:szCs w:val="24"/>
        </w:rPr>
      </w:pPr>
      <w:r w:rsidRPr="00F4152E">
        <w:rPr>
          <w:rFonts w:asciiTheme="minorBidi" w:hAnsiTheme="minorBidi"/>
          <w:sz w:val="24"/>
          <w:szCs w:val="24"/>
        </w:rPr>
        <w:t>Chronic renal disease (CRD), requiring dialysis or renal transplantation, is a growing health concern in Gulf Council Countries (GCC).  The Banff Classification of renal allograft, first published in 1993, still remains a great scientific tool to assess</w:t>
      </w:r>
      <w:r w:rsidR="005758B5" w:rsidRPr="00F4152E">
        <w:rPr>
          <w:rFonts w:asciiTheme="minorBidi" w:hAnsiTheme="minorBidi"/>
          <w:sz w:val="24"/>
          <w:szCs w:val="24"/>
        </w:rPr>
        <w:t xml:space="preserve"> and to quantify </w:t>
      </w:r>
      <w:r w:rsidRPr="00F4152E">
        <w:rPr>
          <w:rFonts w:asciiTheme="minorBidi" w:hAnsiTheme="minorBidi"/>
          <w:sz w:val="24"/>
          <w:szCs w:val="24"/>
        </w:rPr>
        <w:t xml:space="preserve">allograft </w:t>
      </w:r>
      <w:r w:rsidR="005758B5" w:rsidRPr="00F4152E">
        <w:rPr>
          <w:rFonts w:asciiTheme="minorBidi" w:hAnsiTheme="minorBidi"/>
          <w:sz w:val="24"/>
          <w:szCs w:val="24"/>
        </w:rPr>
        <w:t xml:space="preserve">renal injury.  It helped </w:t>
      </w:r>
      <w:r w:rsidRPr="00F4152E">
        <w:rPr>
          <w:rFonts w:asciiTheme="minorBidi" w:hAnsiTheme="minorBidi"/>
          <w:sz w:val="24"/>
          <w:szCs w:val="24"/>
        </w:rPr>
        <w:t>unify the language between renal transplantation centers, and professionals worldwide</w:t>
      </w:r>
      <w:r w:rsidR="005758B5" w:rsidRPr="00F4152E">
        <w:rPr>
          <w:rFonts w:asciiTheme="minorBidi" w:hAnsiTheme="minorBidi"/>
          <w:sz w:val="24"/>
          <w:szCs w:val="24"/>
        </w:rPr>
        <w:t>, thus promoting patient’s care and collaborative research</w:t>
      </w:r>
      <w:r w:rsidRPr="00F4152E">
        <w:rPr>
          <w:rFonts w:asciiTheme="minorBidi" w:hAnsiTheme="minorBidi"/>
          <w:sz w:val="24"/>
          <w:szCs w:val="24"/>
        </w:rPr>
        <w:t xml:space="preserve">.  </w:t>
      </w:r>
      <w:r w:rsidR="005758B5" w:rsidRPr="00F4152E">
        <w:rPr>
          <w:rFonts w:asciiTheme="minorBidi" w:hAnsiTheme="minorBidi"/>
          <w:sz w:val="24"/>
          <w:szCs w:val="24"/>
        </w:rPr>
        <w:t xml:space="preserve">Every two years, the world’s transplantation experts, convene to incorporate new evidence-based modification(s) into the existing scheme.  The </w:t>
      </w:r>
      <w:r w:rsidR="005758B5" w:rsidRPr="00F4152E">
        <w:rPr>
          <w:rFonts w:asciiTheme="minorBidi" w:hAnsiTheme="minorBidi"/>
          <w:sz w:val="24"/>
          <w:szCs w:val="24"/>
        </w:rPr>
        <w:t>Banff 2013 meeting</w:t>
      </w:r>
      <w:r w:rsidR="00F4152E" w:rsidRPr="00F4152E">
        <w:rPr>
          <w:rFonts w:asciiTheme="minorBidi" w:hAnsiTheme="minorBidi"/>
          <w:sz w:val="24"/>
          <w:szCs w:val="24"/>
        </w:rPr>
        <w:t xml:space="preserve">, introduced major </w:t>
      </w:r>
      <w:r w:rsidR="005758B5" w:rsidRPr="00F4152E">
        <w:rPr>
          <w:rFonts w:asciiTheme="minorBidi" w:hAnsiTheme="minorBidi"/>
          <w:sz w:val="24"/>
          <w:szCs w:val="24"/>
        </w:rPr>
        <w:t xml:space="preserve">updates </w:t>
      </w:r>
      <w:r w:rsidR="00F4152E" w:rsidRPr="00F4152E">
        <w:rPr>
          <w:rFonts w:asciiTheme="minorBidi" w:hAnsiTheme="minorBidi"/>
          <w:sz w:val="24"/>
          <w:szCs w:val="24"/>
        </w:rPr>
        <w:t xml:space="preserve">in </w:t>
      </w:r>
      <w:r w:rsidR="005758B5" w:rsidRPr="00F4152E">
        <w:rPr>
          <w:rFonts w:asciiTheme="minorBidi" w:hAnsiTheme="minorBidi"/>
          <w:sz w:val="24"/>
          <w:szCs w:val="24"/>
        </w:rPr>
        <w:t xml:space="preserve">the diagnosis of antibody mediated rejection.  </w:t>
      </w:r>
      <w:r w:rsidR="00F4152E" w:rsidRPr="00F4152E">
        <w:rPr>
          <w:rFonts w:asciiTheme="minorBidi" w:hAnsiTheme="minorBidi"/>
          <w:sz w:val="24"/>
          <w:szCs w:val="24"/>
        </w:rPr>
        <w:t xml:space="preserve">In addition, </w:t>
      </w:r>
      <w:r w:rsidR="005758B5" w:rsidRPr="00F4152E">
        <w:rPr>
          <w:rFonts w:asciiTheme="minorBidi" w:hAnsiTheme="minorBidi"/>
          <w:sz w:val="24"/>
          <w:szCs w:val="24"/>
        </w:rPr>
        <w:t>recent literatu</w:t>
      </w:r>
      <w:r w:rsidR="00F4152E" w:rsidRPr="00F4152E">
        <w:rPr>
          <w:rFonts w:asciiTheme="minorBidi" w:hAnsiTheme="minorBidi"/>
          <w:sz w:val="24"/>
          <w:szCs w:val="24"/>
        </w:rPr>
        <w:t xml:space="preserve">re addresses C4d interpretive issues </w:t>
      </w:r>
      <w:r w:rsidR="005758B5" w:rsidRPr="00F4152E">
        <w:rPr>
          <w:rFonts w:asciiTheme="minorBidi" w:hAnsiTheme="minorBidi"/>
          <w:sz w:val="24"/>
          <w:szCs w:val="24"/>
        </w:rPr>
        <w:t xml:space="preserve">and introduces newer molecular alternatives such as ENDATs.  </w:t>
      </w:r>
      <w:r w:rsidR="00F4152E" w:rsidRPr="00F4152E">
        <w:rPr>
          <w:rFonts w:asciiTheme="minorBidi" w:hAnsiTheme="minorBidi"/>
          <w:sz w:val="24"/>
          <w:szCs w:val="24"/>
        </w:rPr>
        <w:t>Finally, the value of post transplantation base</w:t>
      </w:r>
      <w:r w:rsidR="00F4152E" w:rsidRPr="00F4152E">
        <w:rPr>
          <w:rFonts w:asciiTheme="minorBidi" w:hAnsiTheme="minorBidi"/>
          <w:sz w:val="24"/>
          <w:szCs w:val="24"/>
        </w:rPr>
        <w:t xml:space="preserve">line </w:t>
      </w:r>
      <w:r w:rsidR="00F4152E" w:rsidRPr="00F4152E">
        <w:rPr>
          <w:rFonts w:asciiTheme="minorBidi" w:hAnsiTheme="minorBidi"/>
          <w:sz w:val="24"/>
          <w:szCs w:val="24"/>
        </w:rPr>
        <w:t xml:space="preserve">biopsy cannot be overemphasized.  </w:t>
      </w:r>
    </w:p>
    <w:p w:rsidR="00F4152E" w:rsidRPr="00F4152E" w:rsidRDefault="00F4152E" w:rsidP="00F4152E">
      <w:pPr>
        <w:spacing w:after="0" w:line="240" w:lineRule="auto"/>
        <w:rPr>
          <w:rFonts w:asciiTheme="minorBidi" w:hAnsiTheme="minorBidi"/>
          <w:sz w:val="24"/>
          <w:szCs w:val="24"/>
        </w:rPr>
      </w:pPr>
    </w:p>
    <w:p w:rsidR="00F4152E" w:rsidRPr="00F4152E" w:rsidRDefault="00F4152E" w:rsidP="00F4152E">
      <w:pPr>
        <w:spacing w:after="0" w:line="240" w:lineRule="auto"/>
        <w:rPr>
          <w:rFonts w:asciiTheme="minorBidi" w:hAnsiTheme="minorBidi"/>
          <w:sz w:val="24"/>
          <w:szCs w:val="24"/>
        </w:rPr>
      </w:pPr>
    </w:p>
    <w:p w:rsidR="00F4152E" w:rsidRPr="00F4152E" w:rsidRDefault="00F4152E" w:rsidP="00F4152E">
      <w:pPr>
        <w:spacing w:after="0" w:line="240" w:lineRule="auto"/>
        <w:rPr>
          <w:rFonts w:asciiTheme="minorBidi" w:hAnsiTheme="minorBidi"/>
          <w:b/>
          <w:bCs/>
          <w:sz w:val="24"/>
          <w:szCs w:val="24"/>
        </w:rPr>
      </w:pPr>
      <w:r w:rsidRPr="00F4152E">
        <w:rPr>
          <w:rFonts w:asciiTheme="minorBidi" w:hAnsiTheme="minorBidi"/>
          <w:b/>
          <w:bCs/>
          <w:sz w:val="24"/>
          <w:szCs w:val="24"/>
        </w:rPr>
        <w:t>Biography</w:t>
      </w:r>
    </w:p>
    <w:p w:rsidR="00F4152E" w:rsidRPr="00F4152E" w:rsidRDefault="00F4152E" w:rsidP="00F4152E">
      <w:pPr>
        <w:spacing w:after="0" w:line="240" w:lineRule="auto"/>
        <w:rPr>
          <w:rFonts w:asciiTheme="minorBidi" w:hAnsiTheme="minorBidi"/>
          <w:sz w:val="24"/>
          <w:szCs w:val="24"/>
        </w:rPr>
      </w:pPr>
      <w:r w:rsidRPr="00F4152E">
        <w:rPr>
          <w:rFonts w:asciiTheme="minorBidi" w:hAnsiTheme="minorBidi"/>
          <w:sz w:val="24"/>
          <w:szCs w:val="24"/>
        </w:rPr>
        <w:t xml:space="preserve">Alia </w:t>
      </w:r>
      <w:proofErr w:type="spellStart"/>
      <w:r w:rsidRPr="00F4152E">
        <w:rPr>
          <w:rFonts w:asciiTheme="minorBidi" w:hAnsiTheme="minorBidi"/>
          <w:sz w:val="24"/>
          <w:szCs w:val="24"/>
        </w:rPr>
        <w:t>Albawardi</w:t>
      </w:r>
      <w:proofErr w:type="spellEnd"/>
      <w:r w:rsidRPr="00F4152E">
        <w:rPr>
          <w:rFonts w:asciiTheme="minorBidi" w:hAnsiTheme="minorBidi"/>
          <w:sz w:val="24"/>
          <w:szCs w:val="24"/>
        </w:rPr>
        <w:t xml:space="preserve">, is an expert anatomical pathology with a fellowship training in renal transplantation pathology.  </w:t>
      </w:r>
      <w:r w:rsidRPr="00F4152E">
        <w:rPr>
          <w:rFonts w:asciiTheme="minorBidi" w:hAnsiTheme="minorBidi"/>
          <w:sz w:val="24"/>
          <w:szCs w:val="24"/>
        </w:rPr>
        <w:t>Dr</w:t>
      </w:r>
      <w:r w:rsidRPr="00F4152E"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F4152E">
        <w:rPr>
          <w:rFonts w:asciiTheme="minorBidi" w:hAnsiTheme="minorBidi"/>
          <w:sz w:val="24"/>
          <w:szCs w:val="24"/>
        </w:rPr>
        <w:t>Albawardi</w:t>
      </w:r>
      <w:proofErr w:type="spellEnd"/>
      <w:r w:rsidRPr="00F4152E">
        <w:rPr>
          <w:rFonts w:asciiTheme="minorBidi" w:hAnsiTheme="minorBidi"/>
          <w:sz w:val="24"/>
          <w:szCs w:val="24"/>
        </w:rPr>
        <w:t xml:space="preserve"> is an Associate Professor at the College of Medicine &amp; Health Sciences, and is a consultant </w:t>
      </w:r>
      <w:proofErr w:type="spellStart"/>
      <w:r w:rsidRPr="00F4152E">
        <w:rPr>
          <w:rFonts w:asciiTheme="minorBidi" w:hAnsiTheme="minorBidi"/>
          <w:sz w:val="24"/>
          <w:szCs w:val="24"/>
        </w:rPr>
        <w:t>Histopathologist</w:t>
      </w:r>
      <w:proofErr w:type="spellEnd"/>
      <w:r w:rsidRPr="00F4152E">
        <w:rPr>
          <w:rFonts w:asciiTheme="minorBidi" w:hAnsiTheme="minorBidi"/>
          <w:sz w:val="24"/>
          <w:szCs w:val="24"/>
        </w:rPr>
        <w:t xml:space="preserve"> &amp; Renal Pathologist at </w:t>
      </w:r>
      <w:proofErr w:type="spellStart"/>
      <w:r w:rsidRPr="00F4152E">
        <w:rPr>
          <w:rFonts w:asciiTheme="minorBidi" w:hAnsiTheme="minorBidi"/>
          <w:sz w:val="24"/>
          <w:szCs w:val="24"/>
        </w:rPr>
        <w:t>Tawam</w:t>
      </w:r>
      <w:proofErr w:type="spellEnd"/>
      <w:r w:rsidRPr="00F4152E">
        <w:rPr>
          <w:rFonts w:asciiTheme="minorBidi" w:hAnsiTheme="minorBidi"/>
          <w:sz w:val="24"/>
          <w:szCs w:val="24"/>
        </w:rPr>
        <w:t xml:space="preserve"> hospital.  </w:t>
      </w:r>
    </w:p>
    <w:p w:rsidR="00F4152E" w:rsidRPr="00F4152E" w:rsidRDefault="00F4152E" w:rsidP="00F4152E">
      <w:pPr>
        <w:spacing w:after="0" w:line="240" w:lineRule="auto"/>
        <w:rPr>
          <w:rFonts w:asciiTheme="minorBidi" w:hAnsiTheme="minorBidi"/>
          <w:color w:val="000000"/>
          <w:sz w:val="24"/>
          <w:szCs w:val="24"/>
        </w:rPr>
      </w:pPr>
      <w:r w:rsidRPr="00F4152E">
        <w:rPr>
          <w:rFonts w:asciiTheme="minorBidi" w:hAnsiTheme="minorBidi"/>
          <w:sz w:val="24"/>
          <w:szCs w:val="24"/>
        </w:rPr>
        <w:t>She obtained her Bachelor of</w:t>
      </w:r>
      <w:r w:rsidRPr="00F4152E">
        <w:rPr>
          <w:rFonts w:asciiTheme="minorBidi" w:hAnsiTheme="minorBidi"/>
          <w:color w:val="000000"/>
          <w:sz w:val="24"/>
          <w:szCs w:val="24"/>
        </w:rPr>
        <w:t xml:space="preserve"> Medicine &amp; Surgery (M.B.B.S.) from the College of Medicine &amp; Health Sciences-UAE University, followed by five year residency training in anatomical pathology at McGill University, Canada.  In addition, Dr </w:t>
      </w:r>
      <w:proofErr w:type="spellStart"/>
      <w:r w:rsidRPr="00F4152E">
        <w:rPr>
          <w:rFonts w:asciiTheme="minorBidi" w:hAnsiTheme="minorBidi"/>
          <w:color w:val="000000"/>
          <w:sz w:val="24"/>
          <w:szCs w:val="24"/>
        </w:rPr>
        <w:t>Albawardi</w:t>
      </w:r>
      <w:proofErr w:type="spellEnd"/>
      <w:r w:rsidRPr="00F4152E">
        <w:rPr>
          <w:rFonts w:asciiTheme="minorBidi" w:hAnsiTheme="minorBidi"/>
          <w:color w:val="000000"/>
          <w:sz w:val="24"/>
          <w:szCs w:val="24"/>
        </w:rPr>
        <w:t xml:space="preserve"> did fellowship training in Renal and Transplantation pathology at Ohio State University Medical Center, USA.  </w:t>
      </w:r>
    </w:p>
    <w:p w:rsidR="00142A66" w:rsidRDefault="00F4152E" w:rsidP="00F4152E">
      <w:pPr>
        <w:spacing w:after="0" w:line="240" w:lineRule="auto"/>
        <w:rPr>
          <w:rFonts w:asciiTheme="minorBidi" w:hAnsiTheme="minorBidi"/>
          <w:sz w:val="24"/>
          <w:szCs w:val="24"/>
        </w:rPr>
      </w:pPr>
      <w:r w:rsidRPr="00F4152E">
        <w:rPr>
          <w:rFonts w:asciiTheme="minorBidi" w:hAnsiTheme="minorBidi"/>
          <w:sz w:val="24"/>
          <w:szCs w:val="24"/>
        </w:rPr>
        <w:t xml:space="preserve">Dr. </w:t>
      </w:r>
      <w:proofErr w:type="spellStart"/>
      <w:r w:rsidRPr="00F4152E">
        <w:rPr>
          <w:rFonts w:asciiTheme="minorBidi" w:hAnsiTheme="minorBidi"/>
          <w:sz w:val="24"/>
          <w:szCs w:val="24"/>
        </w:rPr>
        <w:t>Albawardi</w:t>
      </w:r>
      <w:proofErr w:type="spellEnd"/>
      <w:r w:rsidRPr="00F4152E">
        <w:rPr>
          <w:rFonts w:asciiTheme="minorBidi" w:hAnsiTheme="minorBidi"/>
          <w:sz w:val="24"/>
          <w:szCs w:val="24"/>
        </w:rPr>
        <w:t xml:space="preserve"> principle areas of interest are cellular bioenergetics and nephrotoxicity, as well as mammary carcinogenesis.</w:t>
      </w:r>
    </w:p>
    <w:p w:rsidR="00142A66" w:rsidRDefault="00142A66" w:rsidP="00F4152E">
      <w:pPr>
        <w:spacing w:after="0" w:line="240" w:lineRule="auto"/>
        <w:rPr>
          <w:rFonts w:asciiTheme="minorBidi" w:hAnsiTheme="minorBidi"/>
          <w:sz w:val="24"/>
          <w:szCs w:val="24"/>
        </w:rPr>
      </w:pPr>
    </w:p>
    <w:p w:rsidR="00142A66" w:rsidRPr="00142A66" w:rsidRDefault="00142A66" w:rsidP="00F4152E">
      <w:pPr>
        <w:spacing w:after="0" w:line="240" w:lineRule="auto"/>
        <w:rPr>
          <w:rFonts w:asciiTheme="minorBidi" w:hAnsiTheme="minorBidi"/>
          <w:b/>
          <w:bCs/>
          <w:sz w:val="24"/>
          <w:szCs w:val="24"/>
        </w:rPr>
      </w:pPr>
      <w:r w:rsidRPr="00142A66">
        <w:rPr>
          <w:rFonts w:asciiTheme="minorBidi" w:hAnsiTheme="minorBidi"/>
          <w:b/>
          <w:bCs/>
          <w:sz w:val="24"/>
          <w:szCs w:val="24"/>
        </w:rPr>
        <w:t>Publications</w:t>
      </w:r>
    </w:p>
    <w:p w:rsidR="00142A66" w:rsidRPr="00142A66" w:rsidRDefault="00142A66" w:rsidP="00142A66">
      <w:pPr>
        <w:numPr>
          <w:ilvl w:val="0"/>
          <w:numId w:val="1"/>
        </w:numPr>
        <w:spacing w:after="0" w:line="240" w:lineRule="auto"/>
        <w:rPr>
          <w:rFonts w:asciiTheme="minorBidi" w:hAnsiTheme="minorBidi"/>
          <w:sz w:val="24"/>
          <w:szCs w:val="24"/>
        </w:rPr>
      </w:pPr>
      <w:proofErr w:type="spellStart"/>
      <w:r w:rsidRPr="00142A66">
        <w:rPr>
          <w:rFonts w:asciiTheme="minorBidi" w:hAnsiTheme="minorBidi"/>
          <w:sz w:val="24"/>
          <w:szCs w:val="24"/>
        </w:rPr>
        <w:t>Almarzooqi</w:t>
      </w:r>
      <w:proofErr w:type="spellEnd"/>
      <w:r w:rsidRPr="00142A66">
        <w:rPr>
          <w:rFonts w:asciiTheme="minorBidi" w:hAnsiTheme="minorBidi"/>
          <w:sz w:val="24"/>
          <w:szCs w:val="24"/>
        </w:rPr>
        <w:t xml:space="preserve"> S, </w:t>
      </w:r>
      <w:proofErr w:type="spellStart"/>
      <w:r w:rsidRPr="00142A66">
        <w:rPr>
          <w:rFonts w:asciiTheme="minorBidi" w:hAnsiTheme="minorBidi"/>
          <w:b/>
          <w:bCs/>
          <w:sz w:val="24"/>
          <w:szCs w:val="24"/>
        </w:rPr>
        <w:t>Albawardi</w:t>
      </w:r>
      <w:proofErr w:type="spellEnd"/>
      <w:r w:rsidRPr="00142A66">
        <w:rPr>
          <w:rFonts w:asciiTheme="minorBidi" w:hAnsiTheme="minorBidi"/>
          <w:b/>
          <w:bCs/>
          <w:sz w:val="24"/>
          <w:szCs w:val="24"/>
        </w:rPr>
        <w:t xml:space="preserve"> A</w:t>
      </w:r>
      <w:r w:rsidRPr="00142A66">
        <w:rPr>
          <w:rFonts w:asciiTheme="minorBidi" w:hAnsiTheme="minorBidi"/>
          <w:sz w:val="24"/>
          <w:szCs w:val="24"/>
        </w:rPr>
        <w:t xml:space="preserve">, </w:t>
      </w:r>
      <w:proofErr w:type="spellStart"/>
      <w:r w:rsidRPr="00142A66">
        <w:rPr>
          <w:rFonts w:asciiTheme="minorBidi" w:hAnsiTheme="minorBidi"/>
          <w:sz w:val="24"/>
          <w:szCs w:val="24"/>
        </w:rPr>
        <w:t>Alfazari</w:t>
      </w:r>
      <w:proofErr w:type="spellEnd"/>
      <w:r w:rsidRPr="00142A66">
        <w:rPr>
          <w:rFonts w:asciiTheme="minorBidi" w:hAnsiTheme="minorBidi"/>
          <w:sz w:val="24"/>
          <w:szCs w:val="24"/>
        </w:rPr>
        <w:t xml:space="preserve"> AS, Saraswathiamma D, Abdul-Kader HM, Shaban S, Mallon R, Souid A-K. </w:t>
      </w:r>
      <w:r w:rsidRPr="00142A66">
        <w:rPr>
          <w:rFonts w:asciiTheme="minorBidi" w:hAnsiTheme="minorBidi"/>
          <w:sz w:val="24"/>
          <w:szCs w:val="24"/>
          <w:u w:val="single"/>
        </w:rPr>
        <w:t xml:space="preserve">Effects of selected inhibitors of protein kinases and phosphatases on cellular respiration: an </w:t>
      </w:r>
      <w:r w:rsidRPr="00142A66">
        <w:rPr>
          <w:rFonts w:asciiTheme="minorBidi" w:hAnsiTheme="minorBidi"/>
          <w:i/>
          <w:iCs/>
          <w:sz w:val="24"/>
          <w:szCs w:val="24"/>
          <w:u w:val="single"/>
        </w:rPr>
        <w:t>in vitro</w:t>
      </w:r>
      <w:r w:rsidRPr="00142A66">
        <w:rPr>
          <w:rFonts w:asciiTheme="minorBidi" w:hAnsiTheme="minorBidi"/>
          <w:sz w:val="24"/>
          <w:szCs w:val="24"/>
          <w:u w:val="single"/>
        </w:rPr>
        <w:t xml:space="preserve"> study</w:t>
      </w:r>
      <w:r w:rsidRPr="00142A66">
        <w:rPr>
          <w:rFonts w:asciiTheme="minorBidi" w:hAnsiTheme="minorBidi"/>
          <w:sz w:val="24"/>
          <w:szCs w:val="24"/>
        </w:rPr>
        <w:t>. Journal of Clinical Toxicology.  4: 212; 2014. doi:10.4172/2161-0495.1000212.</w:t>
      </w:r>
    </w:p>
    <w:p w:rsidR="000B26F2" w:rsidRDefault="00142A66" w:rsidP="00E038EE">
      <w:pPr>
        <w:pStyle w:val="ListParagraph"/>
        <w:numPr>
          <w:ilvl w:val="0"/>
          <w:numId w:val="1"/>
        </w:numPr>
        <w:overflowPunct/>
        <w:autoSpaceDE/>
        <w:autoSpaceDN/>
        <w:adjustRightInd/>
        <w:contextualSpacing/>
        <w:textAlignment w:val="auto"/>
        <w:rPr>
          <w:rFonts w:asciiTheme="minorBidi" w:hAnsiTheme="minorBidi" w:cstheme="minorBidi"/>
          <w:sz w:val="24"/>
          <w:szCs w:val="24"/>
        </w:rPr>
      </w:pPr>
      <w:bookmarkStart w:id="0" w:name="_GoBack"/>
      <w:bookmarkEnd w:id="0"/>
      <w:r w:rsidRPr="000B26F2">
        <w:rPr>
          <w:rFonts w:asciiTheme="minorBidi" w:hAnsiTheme="minorBidi" w:cstheme="minorBidi"/>
          <w:sz w:val="24"/>
          <w:szCs w:val="24"/>
        </w:rPr>
        <w:t xml:space="preserve">Almarzooqi S, Ahmad Al-Safi R, Fahad Al-Jassar W, Akhter SM, Chiab-Rassou Y, </w:t>
      </w:r>
      <w:r w:rsidRPr="000B26F2">
        <w:rPr>
          <w:rFonts w:asciiTheme="minorBidi" w:hAnsiTheme="minorBidi" w:cstheme="minorBidi"/>
          <w:b/>
          <w:bCs/>
          <w:sz w:val="24"/>
          <w:szCs w:val="24"/>
        </w:rPr>
        <w:t>Albawardi A</w:t>
      </w:r>
      <w:r w:rsidRPr="000B26F2">
        <w:rPr>
          <w:rFonts w:asciiTheme="minorBidi" w:hAnsiTheme="minorBidi" w:cstheme="minorBidi"/>
          <w:sz w:val="24"/>
          <w:szCs w:val="24"/>
        </w:rPr>
        <w:t xml:space="preserve">. </w:t>
      </w:r>
      <w:r w:rsidRPr="000B26F2">
        <w:rPr>
          <w:rFonts w:asciiTheme="minorBidi" w:hAnsiTheme="minorBidi" w:cstheme="minorBidi"/>
          <w:sz w:val="24"/>
          <w:szCs w:val="24"/>
          <w:u w:val="single"/>
        </w:rPr>
        <w:t>Epithelioid trophoblastic tumor: report fo two cases in postmenapausal women with literature review and emphasis on cytological findings</w:t>
      </w:r>
      <w:r w:rsidRPr="000B26F2">
        <w:rPr>
          <w:rFonts w:asciiTheme="minorBidi" w:hAnsiTheme="minorBidi" w:cstheme="minorBidi"/>
          <w:sz w:val="24"/>
          <w:szCs w:val="24"/>
        </w:rPr>
        <w:t xml:space="preserve">. Acta Cytologica. 2014; 58(2):198-210. </w:t>
      </w:r>
    </w:p>
    <w:p w:rsidR="00142A66" w:rsidRPr="000B26F2" w:rsidRDefault="00142A66" w:rsidP="00E038EE">
      <w:pPr>
        <w:pStyle w:val="ListParagraph"/>
        <w:numPr>
          <w:ilvl w:val="0"/>
          <w:numId w:val="1"/>
        </w:numPr>
        <w:overflowPunct/>
        <w:autoSpaceDE/>
        <w:autoSpaceDN/>
        <w:adjustRightInd/>
        <w:contextualSpacing/>
        <w:textAlignment w:val="auto"/>
        <w:rPr>
          <w:rFonts w:asciiTheme="minorBidi" w:hAnsiTheme="minorBidi" w:cstheme="minorBidi"/>
          <w:sz w:val="24"/>
          <w:szCs w:val="24"/>
        </w:rPr>
      </w:pPr>
      <w:r w:rsidRPr="000B26F2">
        <w:rPr>
          <w:rFonts w:asciiTheme="minorBidi" w:hAnsiTheme="minorBidi" w:cstheme="minorBidi"/>
          <w:b/>
          <w:bCs/>
          <w:sz w:val="24"/>
          <w:szCs w:val="24"/>
        </w:rPr>
        <w:t>Albawardi A</w:t>
      </w:r>
      <w:r w:rsidRPr="000B26F2">
        <w:rPr>
          <w:rFonts w:asciiTheme="minorBidi" w:hAnsiTheme="minorBidi" w:cstheme="minorBidi"/>
          <w:sz w:val="24"/>
          <w:szCs w:val="24"/>
        </w:rPr>
        <w:t xml:space="preserve">, Al Ayyan M, Al Bashir M, Souid AK, Almarzooqi S.  </w:t>
      </w:r>
      <w:r w:rsidRPr="000B26F2">
        <w:rPr>
          <w:rFonts w:asciiTheme="minorBidi" w:hAnsiTheme="minorBidi" w:cstheme="minorBidi"/>
          <w:sz w:val="24"/>
          <w:szCs w:val="24"/>
          <w:u w:val="single"/>
        </w:rPr>
        <w:t>In vitro assessment of antitumor activities of the PI3K/mTOR inhibitor GSK2126458.</w:t>
      </w:r>
      <w:r w:rsidRPr="000B26F2">
        <w:rPr>
          <w:rFonts w:asciiTheme="minorBidi" w:hAnsiTheme="minorBidi" w:cstheme="minorBidi"/>
          <w:sz w:val="24"/>
          <w:szCs w:val="24"/>
        </w:rPr>
        <w:t xml:space="preserve"> Cancer Cell International. 2014;14(1):90. </w:t>
      </w:r>
    </w:p>
    <w:p w:rsidR="00142A66" w:rsidRPr="00142A66" w:rsidRDefault="00142A66" w:rsidP="00142A66">
      <w:pPr>
        <w:pStyle w:val="ListParagraph"/>
        <w:numPr>
          <w:ilvl w:val="0"/>
          <w:numId w:val="1"/>
        </w:numPr>
        <w:overflowPunct/>
        <w:autoSpaceDE/>
        <w:autoSpaceDN/>
        <w:adjustRightInd/>
        <w:contextualSpacing/>
        <w:textAlignment w:val="auto"/>
        <w:rPr>
          <w:rFonts w:asciiTheme="minorBidi" w:hAnsiTheme="minorBidi" w:cstheme="minorBidi"/>
          <w:sz w:val="24"/>
          <w:szCs w:val="24"/>
        </w:rPr>
      </w:pPr>
      <w:r w:rsidRPr="00142A66">
        <w:rPr>
          <w:rFonts w:asciiTheme="minorBidi" w:hAnsiTheme="minorBidi" w:cstheme="minorBidi"/>
          <w:b/>
          <w:bCs/>
          <w:sz w:val="24"/>
          <w:szCs w:val="24"/>
        </w:rPr>
        <w:t xml:space="preserve">Albawardi AS, </w:t>
      </w:r>
      <w:r w:rsidRPr="00142A66">
        <w:rPr>
          <w:rFonts w:asciiTheme="minorBidi" w:hAnsiTheme="minorBidi" w:cstheme="minorBidi"/>
          <w:sz w:val="24"/>
          <w:szCs w:val="24"/>
        </w:rPr>
        <w:t>Awwad AA, Almarzooqi SS.</w:t>
      </w:r>
      <w:r w:rsidRPr="00142A66">
        <w:rPr>
          <w:rFonts w:asciiTheme="minorBidi" w:hAnsiTheme="minorBidi" w:cstheme="minorBidi"/>
          <w:b/>
          <w:bCs/>
          <w:sz w:val="24"/>
          <w:szCs w:val="24"/>
        </w:rPr>
        <w:t xml:space="preserve"> </w:t>
      </w:r>
      <w:r w:rsidRPr="00142A66">
        <w:rPr>
          <w:rFonts w:asciiTheme="minorBidi" w:hAnsiTheme="minorBidi" w:cstheme="minorBidi"/>
          <w:sz w:val="24"/>
          <w:szCs w:val="24"/>
          <w:u w:val="single"/>
        </w:rPr>
        <w:t>Mammary carcinoma with osteoclast-like giant cells: a case report</w:t>
      </w:r>
      <w:r w:rsidRPr="00142A66">
        <w:rPr>
          <w:rFonts w:asciiTheme="minorBidi" w:hAnsiTheme="minorBidi" w:cstheme="minorBidi"/>
          <w:sz w:val="24"/>
          <w:szCs w:val="24"/>
        </w:rPr>
        <w:t>.  International Journal of Clinical &amp; Experimental Pathology. 2014;7(12):9038-43.</w:t>
      </w:r>
    </w:p>
    <w:p w:rsidR="00142A66" w:rsidRPr="00142A66" w:rsidRDefault="00142A66" w:rsidP="00142A66">
      <w:pPr>
        <w:pStyle w:val="ListParagraph"/>
        <w:numPr>
          <w:ilvl w:val="0"/>
          <w:numId w:val="1"/>
        </w:numPr>
        <w:overflowPunct/>
        <w:autoSpaceDE/>
        <w:autoSpaceDN/>
        <w:adjustRightInd/>
        <w:contextualSpacing/>
        <w:textAlignment w:val="auto"/>
        <w:rPr>
          <w:rFonts w:asciiTheme="minorBidi" w:hAnsiTheme="minorBidi" w:cstheme="minorBidi"/>
          <w:sz w:val="24"/>
          <w:szCs w:val="24"/>
        </w:rPr>
      </w:pPr>
      <w:r w:rsidRPr="00142A66">
        <w:rPr>
          <w:rFonts w:asciiTheme="minorBidi" w:hAnsiTheme="minorBidi" w:cstheme="minorBidi"/>
          <w:sz w:val="24"/>
          <w:szCs w:val="24"/>
        </w:rPr>
        <w:lastRenderedPageBreak/>
        <w:t xml:space="preserve">Almarzooqi SS, Alfazari AS, Abdul-Kader HM, Saraswathiamma D, </w:t>
      </w:r>
      <w:r w:rsidRPr="00142A66">
        <w:rPr>
          <w:rFonts w:asciiTheme="minorBidi" w:hAnsiTheme="minorBidi" w:cstheme="minorBidi"/>
          <w:b/>
          <w:bCs/>
          <w:sz w:val="24"/>
          <w:szCs w:val="24"/>
        </w:rPr>
        <w:t>Albawardi AS</w:t>
      </w:r>
      <w:r w:rsidRPr="00142A66">
        <w:rPr>
          <w:rFonts w:asciiTheme="minorBidi" w:hAnsiTheme="minorBidi" w:cstheme="minorBidi"/>
          <w:sz w:val="24"/>
          <w:szCs w:val="24"/>
        </w:rPr>
        <w:t>, Souid AK</w:t>
      </w:r>
      <w:r w:rsidRPr="00142A66">
        <w:rPr>
          <w:rFonts w:asciiTheme="minorBidi" w:hAnsiTheme="minorBidi" w:cstheme="minorBidi"/>
          <w:sz w:val="24"/>
          <w:szCs w:val="24"/>
          <w:u w:val="single"/>
        </w:rPr>
        <w:t>. In Vitro effects of platinum compounds on renal cellular respiration in mice.</w:t>
      </w:r>
      <w:r w:rsidRPr="00142A66">
        <w:rPr>
          <w:rFonts w:asciiTheme="minorBidi" w:hAnsiTheme="minorBidi" w:cstheme="minorBidi"/>
          <w:sz w:val="24"/>
          <w:szCs w:val="24"/>
        </w:rPr>
        <w:t xml:space="preserve"> International Journal of Clinical &amp; Experimental Pathology. 2015; 8(1):81-95. </w:t>
      </w:r>
    </w:p>
    <w:p w:rsidR="00142A66" w:rsidRPr="00142A66" w:rsidRDefault="00142A66" w:rsidP="00142A66">
      <w:pPr>
        <w:pStyle w:val="ListParagraph"/>
        <w:numPr>
          <w:ilvl w:val="0"/>
          <w:numId w:val="1"/>
        </w:numPr>
        <w:overflowPunct/>
        <w:autoSpaceDE/>
        <w:autoSpaceDN/>
        <w:adjustRightInd/>
        <w:contextualSpacing/>
        <w:textAlignment w:val="auto"/>
        <w:rPr>
          <w:rFonts w:asciiTheme="minorBidi" w:hAnsiTheme="minorBidi" w:cstheme="minorBidi"/>
          <w:sz w:val="24"/>
          <w:szCs w:val="24"/>
        </w:rPr>
      </w:pPr>
      <w:proofErr w:type="spellStart"/>
      <w:r w:rsidRPr="00142A66">
        <w:rPr>
          <w:rFonts w:asciiTheme="minorBidi" w:hAnsiTheme="minorBidi" w:cstheme="minorBidi"/>
          <w:b/>
          <w:bCs/>
          <w:noProof w:val="0"/>
          <w:sz w:val="24"/>
          <w:szCs w:val="24"/>
        </w:rPr>
        <w:t>Albawardi</w:t>
      </w:r>
      <w:proofErr w:type="spellEnd"/>
      <w:r w:rsidRPr="00142A66">
        <w:rPr>
          <w:rFonts w:asciiTheme="minorBidi" w:hAnsiTheme="minorBidi" w:cstheme="minorBidi"/>
          <w:b/>
          <w:bCs/>
          <w:noProof w:val="0"/>
          <w:sz w:val="24"/>
          <w:szCs w:val="24"/>
        </w:rPr>
        <w:t xml:space="preserve"> A</w:t>
      </w:r>
      <w:r w:rsidRPr="00142A66">
        <w:rPr>
          <w:rFonts w:asciiTheme="minorBidi" w:hAnsiTheme="minorBidi" w:cstheme="minorBidi"/>
          <w:noProof w:val="0"/>
          <w:sz w:val="24"/>
          <w:szCs w:val="24"/>
        </w:rPr>
        <w:t xml:space="preserve">, </w:t>
      </w:r>
      <w:proofErr w:type="spellStart"/>
      <w:r w:rsidRPr="00142A66">
        <w:rPr>
          <w:rFonts w:asciiTheme="minorBidi" w:hAnsiTheme="minorBidi" w:cstheme="minorBidi"/>
          <w:noProof w:val="0"/>
          <w:sz w:val="24"/>
          <w:szCs w:val="24"/>
        </w:rPr>
        <w:t>Almarzooqi</w:t>
      </w:r>
      <w:proofErr w:type="spellEnd"/>
      <w:r w:rsidRPr="00142A66">
        <w:rPr>
          <w:rFonts w:asciiTheme="minorBidi" w:hAnsiTheme="minorBidi" w:cstheme="minorBidi"/>
          <w:noProof w:val="0"/>
          <w:sz w:val="24"/>
          <w:szCs w:val="24"/>
        </w:rPr>
        <w:t xml:space="preserve"> S, Saraswathiamma D, Abdul-Kader HM, Souid AK,</w:t>
      </w:r>
    </w:p>
    <w:p w:rsidR="00142A66" w:rsidRPr="00142A66" w:rsidRDefault="00142A66" w:rsidP="00142A66">
      <w:pPr>
        <w:pStyle w:val="ListParagraph"/>
        <w:overflowPunct/>
        <w:autoSpaceDE/>
        <w:autoSpaceDN/>
        <w:adjustRightInd/>
        <w:ind w:left="360"/>
        <w:contextualSpacing/>
        <w:textAlignment w:val="auto"/>
        <w:rPr>
          <w:rFonts w:asciiTheme="minorBidi" w:hAnsiTheme="minorBidi" w:cstheme="minorBidi"/>
          <w:sz w:val="24"/>
          <w:szCs w:val="24"/>
        </w:rPr>
      </w:pPr>
      <w:proofErr w:type="spellStart"/>
      <w:r w:rsidRPr="00142A66">
        <w:rPr>
          <w:rFonts w:asciiTheme="minorBidi" w:hAnsiTheme="minorBidi" w:cstheme="minorBidi"/>
          <w:noProof w:val="0"/>
          <w:sz w:val="24"/>
          <w:szCs w:val="24"/>
        </w:rPr>
        <w:t>Alfazari</w:t>
      </w:r>
      <w:proofErr w:type="spellEnd"/>
      <w:r w:rsidRPr="00142A66">
        <w:rPr>
          <w:rFonts w:asciiTheme="minorBidi" w:hAnsiTheme="minorBidi" w:cstheme="minorBidi"/>
          <w:noProof w:val="0"/>
          <w:sz w:val="24"/>
          <w:szCs w:val="24"/>
        </w:rPr>
        <w:t xml:space="preserve"> AS. </w:t>
      </w:r>
      <w:r w:rsidRPr="00142A66">
        <w:rPr>
          <w:rFonts w:asciiTheme="minorBidi" w:hAnsiTheme="minorBidi" w:cstheme="minorBidi"/>
          <w:noProof w:val="0"/>
          <w:sz w:val="24"/>
          <w:szCs w:val="24"/>
          <w:u w:val="single"/>
        </w:rPr>
        <w:t xml:space="preserve">The </w:t>
      </w:r>
      <w:proofErr w:type="spellStart"/>
      <w:r w:rsidRPr="00142A66">
        <w:rPr>
          <w:rFonts w:asciiTheme="minorBidi" w:hAnsiTheme="minorBidi" w:cstheme="minorBidi"/>
          <w:noProof w:val="0"/>
          <w:sz w:val="24"/>
          <w:szCs w:val="24"/>
          <w:u w:val="single"/>
        </w:rPr>
        <w:t>mTOR</w:t>
      </w:r>
      <w:proofErr w:type="spellEnd"/>
      <w:r w:rsidRPr="00142A66">
        <w:rPr>
          <w:rFonts w:asciiTheme="minorBidi" w:hAnsiTheme="minorBidi" w:cstheme="minorBidi"/>
          <w:noProof w:val="0"/>
          <w:sz w:val="24"/>
          <w:szCs w:val="24"/>
          <w:u w:val="single"/>
        </w:rPr>
        <w:t xml:space="preserve"> inhibitor </w:t>
      </w:r>
      <w:proofErr w:type="spellStart"/>
      <w:r w:rsidRPr="00142A66">
        <w:rPr>
          <w:rFonts w:asciiTheme="minorBidi" w:hAnsiTheme="minorBidi" w:cstheme="minorBidi"/>
          <w:noProof w:val="0"/>
          <w:sz w:val="24"/>
          <w:szCs w:val="24"/>
          <w:u w:val="single"/>
        </w:rPr>
        <w:t>sirolimus</w:t>
      </w:r>
      <w:proofErr w:type="spellEnd"/>
      <w:r w:rsidRPr="00142A66">
        <w:rPr>
          <w:rFonts w:asciiTheme="minorBidi" w:hAnsiTheme="minorBidi" w:cstheme="minorBidi"/>
          <w:noProof w:val="0"/>
          <w:sz w:val="24"/>
          <w:szCs w:val="24"/>
          <w:u w:val="single"/>
        </w:rPr>
        <w:t xml:space="preserve"> suppresses renal, hepatic, and cardiac tissue cellular respiration.</w:t>
      </w:r>
      <w:r w:rsidRPr="00142A66">
        <w:rPr>
          <w:rFonts w:asciiTheme="minorBidi" w:hAnsiTheme="minorBidi" w:cstheme="minorBidi"/>
          <w:noProof w:val="0"/>
          <w:sz w:val="24"/>
          <w:szCs w:val="24"/>
        </w:rPr>
        <w:t xml:space="preserve"> </w:t>
      </w:r>
      <w:proofErr w:type="spellStart"/>
      <w:r w:rsidRPr="00142A66">
        <w:rPr>
          <w:rFonts w:asciiTheme="minorBidi" w:hAnsiTheme="minorBidi" w:cstheme="minorBidi"/>
          <w:noProof w:val="0"/>
          <w:sz w:val="24"/>
          <w:szCs w:val="24"/>
        </w:rPr>
        <w:t>Int</w:t>
      </w:r>
      <w:proofErr w:type="spellEnd"/>
      <w:r w:rsidRPr="00142A66">
        <w:rPr>
          <w:rFonts w:asciiTheme="minorBidi" w:hAnsiTheme="minorBidi" w:cstheme="minorBidi"/>
          <w:noProof w:val="0"/>
          <w:sz w:val="24"/>
          <w:szCs w:val="24"/>
        </w:rPr>
        <w:t xml:space="preserve"> J </w:t>
      </w:r>
      <w:proofErr w:type="spellStart"/>
      <w:r w:rsidRPr="00142A66">
        <w:rPr>
          <w:rFonts w:asciiTheme="minorBidi" w:hAnsiTheme="minorBidi" w:cstheme="minorBidi"/>
          <w:noProof w:val="0"/>
          <w:sz w:val="24"/>
          <w:szCs w:val="24"/>
        </w:rPr>
        <w:t>Physiol</w:t>
      </w:r>
      <w:proofErr w:type="spellEnd"/>
      <w:r w:rsidRPr="00142A66">
        <w:rPr>
          <w:rFonts w:asciiTheme="minorBidi" w:hAnsiTheme="minorBidi" w:cstheme="minorBidi"/>
          <w:noProof w:val="0"/>
          <w:sz w:val="24"/>
          <w:szCs w:val="24"/>
        </w:rPr>
        <w:t xml:space="preserve"> </w:t>
      </w:r>
      <w:proofErr w:type="spellStart"/>
      <w:r w:rsidRPr="00142A66">
        <w:rPr>
          <w:rFonts w:asciiTheme="minorBidi" w:hAnsiTheme="minorBidi" w:cstheme="minorBidi"/>
          <w:noProof w:val="0"/>
          <w:sz w:val="24"/>
          <w:szCs w:val="24"/>
        </w:rPr>
        <w:t>Pathophysiol</w:t>
      </w:r>
      <w:proofErr w:type="spellEnd"/>
      <w:r w:rsidRPr="00142A66">
        <w:rPr>
          <w:rFonts w:asciiTheme="minorBidi" w:hAnsiTheme="minorBidi" w:cstheme="minorBidi"/>
          <w:noProof w:val="0"/>
          <w:sz w:val="24"/>
          <w:szCs w:val="24"/>
        </w:rPr>
        <w:t xml:space="preserve"> </w:t>
      </w:r>
      <w:proofErr w:type="spellStart"/>
      <w:r w:rsidRPr="00142A66">
        <w:rPr>
          <w:rFonts w:asciiTheme="minorBidi" w:hAnsiTheme="minorBidi" w:cstheme="minorBidi"/>
          <w:noProof w:val="0"/>
          <w:sz w:val="24"/>
          <w:szCs w:val="24"/>
        </w:rPr>
        <w:t>Pharmacol</w:t>
      </w:r>
      <w:proofErr w:type="spellEnd"/>
      <w:r w:rsidRPr="00142A66">
        <w:rPr>
          <w:rFonts w:asciiTheme="minorBidi" w:hAnsiTheme="minorBidi" w:cstheme="minorBidi"/>
          <w:noProof w:val="0"/>
          <w:sz w:val="24"/>
          <w:szCs w:val="24"/>
        </w:rPr>
        <w:t>. 2015 Mar</w:t>
      </w:r>
      <w:r w:rsidRPr="00142A66">
        <w:rPr>
          <w:rFonts w:asciiTheme="minorBidi" w:hAnsiTheme="minorBidi" w:cstheme="minorBidi"/>
          <w:sz w:val="24"/>
          <w:szCs w:val="24"/>
        </w:rPr>
        <w:t xml:space="preserve"> </w:t>
      </w:r>
      <w:r w:rsidRPr="00142A66">
        <w:rPr>
          <w:rFonts w:asciiTheme="minorBidi" w:hAnsiTheme="minorBidi" w:cstheme="minorBidi"/>
          <w:noProof w:val="0"/>
          <w:sz w:val="24"/>
          <w:szCs w:val="24"/>
        </w:rPr>
        <w:t>20</w:t>
      </w:r>
      <w:proofErr w:type="gramStart"/>
      <w:r w:rsidRPr="00142A66">
        <w:rPr>
          <w:rFonts w:asciiTheme="minorBidi" w:hAnsiTheme="minorBidi" w:cstheme="minorBidi"/>
          <w:noProof w:val="0"/>
          <w:sz w:val="24"/>
          <w:szCs w:val="24"/>
        </w:rPr>
        <w:t>;7</w:t>
      </w:r>
      <w:proofErr w:type="gramEnd"/>
      <w:r w:rsidRPr="00142A66">
        <w:rPr>
          <w:rFonts w:asciiTheme="minorBidi" w:hAnsiTheme="minorBidi" w:cstheme="minorBidi"/>
          <w:noProof w:val="0"/>
          <w:sz w:val="24"/>
          <w:szCs w:val="24"/>
        </w:rPr>
        <w:t>(1):54-60.</w:t>
      </w:r>
    </w:p>
    <w:p w:rsidR="00142A66" w:rsidRPr="00142A66" w:rsidRDefault="00142A66" w:rsidP="00142A6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Bidi" w:hAnsiTheme="minorBidi"/>
          <w:sz w:val="24"/>
          <w:szCs w:val="24"/>
        </w:rPr>
      </w:pPr>
      <w:proofErr w:type="spellStart"/>
      <w:r w:rsidRPr="00142A66">
        <w:rPr>
          <w:rFonts w:asciiTheme="minorBidi" w:hAnsiTheme="minorBidi"/>
          <w:color w:val="000000"/>
          <w:sz w:val="24"/>
          <w:szCs w:val="24"/>
        </w:rPr>
        <w:t>Almarzooqi</w:t>
      </w:r>
      <w:proofErr w:type="spellEnd"/>
      <w:r w:rsidRPr="00142A66">
        <w:rPr>
          <w:rFonts w:asciiTheme="minorBidi" w:hAnsiTheme="minorBidi"/>
          <w:color w:val="000000"/>
          <w:sz w:val="24"/>
          <w:szCs w:val="24"/>
        </w:rPr>
        <w:t xml:space="preserve"> S, </w:t>
      </w:r>
      <w:proofErr w:type="spellStart"/>
      <w:r w:rsidRPr="00142A66">
        <w:rPr>
          <w:rFonts w:asciiTheme="minorBidi" w:hAnsiTheme="minorBidi"/>
          <w:b/>
          <w:bCs/>
          <w:color w:val="000000"/>
          <w:sz w:val="24"/>
          <w:szCs w:val="24"/>
        </w:rPr>
        <w:t>Albawardi</w:t>
      </w:r>
      <w:proofErr w:type="spellEnd"/>
      <w:r w:rsidRPr="00142A66">
        <w:rPr>
          <w:rFonts w:asciiTheme="minorBidi" w:hAnsiTheme="minorBidi"/>
          <w:b/>
          <w:bCs/>
          <w:color w:val="000000"/>
          <w:sz w:val="24"/>
          <w:szCs w:val="24"/>
        </w:rPr>
        <w:t xml:space="preserve"> A</w:t>
      </w:r>
      <w:r w:rsidRPr="00142A66">
        <w:rPr>
          <w:rFonts w:asciiTheme="minorBidi" w:hAnsiTheme="minorBidi"/>
          <w:color w:val="000000"/>
          <w:sz w:val="24"/>
          <w:szCs w:val="24"/>
        </w:rPr>
        <w:t>.</w:t>
      </w:r>
      <w:r w:rsidRPr="00142A66">
        <w:rPr>
          <w:rStyle w:val="apple-converted-space"/>
          <w:rFonts w:asciiTheme="minorBidi" w:hAnsiTheme="minorBidi"/>
          <w:color w:val="000000"/>
          <w:sz w:val="24"/>
          <w:szCs w:val="24"/>
        </w:rPr>
        <w:t> </w:t>
      </w:r>
      <w:r w:rsidRPr="00142A66">
        <w:rPr>
          <w:rFonts w:asciiTheme="minorBidi" w:hAnsiTheme="minorBidi"/>
          <w:sz w:val="24"/>
          <w:szCs w:val="24"/>
          <w:u w:val="single"/>
        </w:rPr>
        <w:t>The Hoopoe: A guide for anyone seeking a career in medicine and for anyone already on the way</w:t>
      </w:r>
      <w:r w:rsidRPr="00142A66">
        <w:rPr>
          <w:rFonts w:asciiTheme="minorBidi" w:hAnsiTheme="minorBidi"/>
          <w:sz w:val="24"/>
          <w:szCs w:val="24"/>
        </w:rPr>
        <w:t xml:space="preserve">. Dar </w:t>
      </w:r>
      <w:proofErr w:type="spellStart"/>
      <w:r w:rsidRPr="00142A66">
        <w:rPr>
          <w:rFonts w:asciiTheme="minorBidi" w:hAnsiTheme="minorBidi"/>
          <w:sz w:val="24"/>
          <w:szCs w:val="24"/>
        </w:rPr>
        <w:t>Amjad</w:t>
      </w:r>
      <w:proofErr w:type="spellEnd"/>
      <w:r w:rsidRPr="00142A66">
        <w:rPr>
          <w:rFonts w:asciiTheme="minorBidi" w:hAnsiTheme="minorBidi"/>
          <w:sz w:val="24"/>
          <w:szCs w:val="24"/>
        </w:rPr>
        <w:t>, Amman-Jordan, 2016. ISBN/Barcode: 978-9957-99-327-6</w:t>
      </w:r>
    </w:p>
    <w:p w:rsidR="00142A66" w:rsidRPr="00142A66" w:rsidRDefault="00142A66" w:rsidP="00142A66">
      <w:pPr>
        <w:pStyle w:val="ListParagraph"/>
        <w:numPr>
          <w:ilvl w:val="0"/>
          <w:numId w:val="1"/>
        </w:numPr>
        <w:overflowPunct/>
        <w:autoSpaceDE/>
        <w:autoSpaceDN/>
        <w:adjustRightInd/>
        <w:contextualSpacing/>
        <w:textAlignment w:val="auto"/>
        <w:rPr>
          <w:rFonts w:asciiTheme="minorBidi" w:hAnsiTheme="minorBidi" w:cstheme="minorBidi"/>
          <w:sz w:val="24"/>
          <w:szCs w:val="24"/>
        </w:rPr>
      </w:pPr>
      <w:r w:rsidRPr="00142A66">
        <w:rPr>
          <w:rFonts w:asciiTheme="minorBidi" w:hAnsiTheme="minorBidi" w:cstheme="minorBidi"/>
          <w:b/>
          <w:bCs/>
          <w:sz w:val="24"/>
          <w:szCs w:val="24"/>
        </w:rPr>
        <w:t>Albawardi Alia</w:t>
      </w:r>
      <w:r w:rsidRPr="00142A66">
        <w:rPr>
          <w:rFonts w:asciiTheme="minorBidi" w:hAnsiTheme="minorBidi" w:cstheme="minorBidi"/>
          <w:sz w:val="24"/>
          <w:szCs w:val="24"/>
        </w:rPr>
        <w:t xml:space="preserve">, Al Sharri Sheikha, Al Bashir Mohammed, Almarzooqi Saeeda. </w:t>
      </w:r>
      <w:r w:rsidRPr="00142A66">
        <w:rPr>
          <w:rFonts w:asciiTheme="minorBidi" w:hAnsiTheme="minorBidi" w:cstheme="minorBidi"/>
          <w:sz w:val="24"/>
          <w:szCs w:val="24"/>
          <w:u w:val="single"/>
        </w:rPr>
        <w:t>Flat epithelial atypia in a mammary hamartoma: case report and clinicopathologic correlates.</w:t>
      </w:r>
      <w:r w:rsidRPr="00142A66">
        <w:rPr>
          <w:rFonts w:asciiTheme="minorBidi" w:hAnsiTheme="minorBidi" w:cstheme="minorBidi"/>
          <w:sz w:val="24"/>
          <w:szCs w:val="24"/>
        </w:rPr>
        <w:t xml:space="preserve"> Int J Clin Exp Med 2016;9(2):4896-4900</w:t>
      </w:r>
    </w:p>
    <w:p w:rsidR="00142A66" w:rsidRPr="00142A66" w:rsidRDefault="00142A66" w:rsidP="00142A66">
      <w:pPr>
        <w:pStyle w:val="ListParagraph"/>
        <w:numPr>
          <w:ilvl w:val="0"/>
          <w:numId w:val="1"/>
        </w:numPr>
        <w:overflowPunct/>
        <w:autoSpaceDE/>
        <w:autoSpaceDN/>
        <w:adjustRightInd/>
        <w:contextualSpacing/>
        <w:textAlignment w:val="auto"/>
        <w:rPr>
          <w:rFonts w:asciiTheme="minorBidi" w:hAnsiTheme="minorBidi" w:cstheme="minorBidi"/>
          <w:sz w:val="24"/>
          <w:szCs w:val="24"/>
        </w:rPr>
      </w:pPr>
      <w:r w:rsidRPr="00142A66">
        <w:rPr>
          <w:rFonts w:asciiTheme="minorBidi" w:hAnsiTheme="minorBidi" w:cstheme="minorBidi"/>
          <w:sz w:val="24"/>
          <w:szCs w:val="24"/>
        </w:rPr>
        <w:t xml:space="preserve">Fernández-Cabezudo MJ, Faour I, Jones K, Champagne DP, Jaloudi MA, Mohamed YA, Bashir G, Almarzooqi S, </w:t>
      </w:r>
      <w:r w:rsidRPr="00142A66">
        <w:rPr>
          <w:rFonts w:asciiTheme="minorBidi" w:hAnsiTheme="minorBidi" w:cstheme="minorBidi"/>
          <w:b/>
          <w:bCs/>
          <w:sz w:val="24"/>
          <w:szCs w:val="24"/>
        </w:rPr>
        <w:t>Albawardi A</w:t>
      </w:r>
      <w:r w:rsidRPr="00142A66">
        <w:rPr>
          <w:rFonts w:asciiTheme="minorBidi" w:hAnsiTheme="minorBidi" w:cstheme="minorBidi"/>
          <w:sz w:val="24"/>
          <w:szCs w:val="24"/>
        </w:rPr>
        <w:t xml:space="preserve">, Hashim MJ, Roberts TS, El-Salhat H, El-Taji  H, Kassis A, O'Sullivan DE, Christensen BC, DeGregori J, Al-Ramadi BK, Rincon M.  </w:t>
      </w:r>
      <w:r w:rsidRPr="00142A66">
        <w:rPr>
          <w:rFonts w:asciiTheme="minorBidi" w:hAnsiTheme="minorBidi" w:cstheme="minorBidi"/>
          <w:sz w:val="24"/>
          <w:szCs w:val="24"/>
          <w:u w:val="single"/>
        </w:rPr>
        <w:t>Deficiency of mitochondrial modulator MCJ promotes chemoresistance in breast cancer</w:t>
      </w:r>
      <w:r w:rsidRPr="00142A66">
        <w:rPr>
          <w:rFonts w:asciiTheme="minorBidi" w:hAnsiTheme="minorBidi" w:cstheme="minorBidi"/>
          <w:sz w:val="24"/>
          <w:szCs w:val="24"/>
        </w:rPr>
        <w:t>. JCI Insight. 2016 May 19;1(7).</w:t>
      </w:r>
    </w:p>
    <w:p w:rsidR="00142A66" w:rsidRPr="00142A66" w:rsidRDefault="00142A66" w:rsidP="00142A66">
      <w:pPr>
        <w:pStyle w:val="ListParagraph"/>
        <w:numPr>
          <w:ilvl w:val="0"/>
          <w:numId w:val="1"/>
        </w:numPr>
        <w:overflowPunct/>
        <w:autoSpaceDE/>
        <w:autoSpaceDN/>
        <w:adjustRightInd/>
        <w:contextualSpacing/>
        <w:textAlignment w:val="auto"/>
        <w:rPr>
          <w:rFonts w:asciiTheme="minorBidi" w:hAnsiTheme="minorBidi" w:cstheme="minorBidi"/>
          <w:sz w:val="24"/>
          <w:szCs w:val="24"/>
          <w:u w:val="single"/>
        </w:rPr>
      </w:pPr>
      <w:r w:rsidRPr="00142A66">
        <w:rPr>
          <w:rFonts w:asciiTheme="minorBidi" w:hAnsiTheme="minorBidi" w:cstheme="minorBidi"/>
          <w:sz w:val="24"/>
          <w:szCs w:val="24"/>
        </w:rPr>
        <w:t xml:space="preserve">Al-Hammadi S, Almarzooqi S, </w:t>
      </w:r>
      <w:r w:rsidRPr="00142A66">
        <w:rPr>
          <w:rFonts w:asciiTheme="minorBidi" w:hAnsiTheme="minorBidi" w:cstheme="minorBidi"/>
          <w:b/>
          <w:bCs/>
          <w:sz w:val="24"/>
          <w:szCs w:val="24"/>
        </w:rPr>
        <w:t>Albawardi A</w:t>
      </w:r>
      <w:r w:rsidRPr="00142A66">
        <w:rPr>
          <w:rFonts w:asciiTheme="minorBidi" w:hAnsiTheme="minorBidi" w:cstheme="minorBidi"/>
          <w:sz w:val="24"/>
          <w:szCs w:val="24"/>
        </w:rPr>
        <w:t xml:space="preserve">, Souid AK. </w:t>
      </w:r>
      <w:r w:rsidRPr="00142A66">
        <w:rPr>
          <w:rFonts w:asciiTheme="minorBidi" w:hAnsiTheme="minorBidi" w:cstheme="minorBidi"/>
          <w:sz w:val="24"/>
          <w:szCs w:val="24"/>
          <w:u w:val="single"/>
        </w:rPr>
        <w:t>Effects of molecularly</w:t>
      </w:r>
    </w:p>
    <w:p w:rsidR="00F4152E" w:rsidRPr="00142A66" w:rsidRDefault="00142A66" w:rsidP="00142A66">
      <w:pPr>
        <w:pStyle w:val="HTMLPreformatted"/>
        <w:ind w:left="360"/>
        <w:rPr>
          <w:rFonts w:asciiTheme="minorBidi" w:hAnsiTheme="minorBidi" w:cstheme="minorBidi"/>
          <w:noProof/>
          <w:sz w:val="24"/>
          <w:szCs w:val="24"/>
          <w:u w:val="single"/>
        </w:rPr>
      </w:pPr>
      <w:r w:rsidRPr="00142A66">
        <w:rPr>
          <w:rFonts w:asciiTheme="minorBidi" w:hAnsiTheme="minorBidi" w:cstheme="minorBidi"/>
          <w:noProof/>
          <w:sz w:val="24"/>
          <w:szCs w:val="24"/>
          <w:u w:val="single"/>
        </w:rPr>
        <w:t>targeted therapies on murine thymus: highly s</w:t>
      </w:r>
      <w:r>
        <w:rPr>
          <w:rFonts w:asciiTheme="minorBidi" w:hAnsiTheme="minorBidi" w:cstheme="minorBidi"/>
          <w:noProof/>
          <w:sz w:val="24"/>
          <w:szCs w:val="24"/>
          <w:u w:val="single"/>
        </w:rPr>
        <w:t>elective mTOR inhibitors induce</w:t>
      </w:r>
      <w:r w:rsidRPr="00142A66">
        <w:rPr>
          <w:rFonts w:asciiTheme="minorBidi" w:hAnsiTheme="minorBidi" w:cstheme="minorBidi"/>
          <w:noProof/>
          <w:sz w:val="24"/>
          <w:szCs w:val="24"/>
          <w:u w:val="single"/>
        </w:rPr>
        <w:t>reversible thymic involution.</w:t>
      </w:r>
      <w:r w:rsidRPr="00142A66">
        <w:rPr>
          <w:rFonts w:asciiTheme="minorBidi" w:hAnsiTheme="minorBidi" w:cstheme="minorBidi"/>
          <w:noProof/>
          <w:sz w:val="24"/>
          <w:szCs w:val="24"/>
        </w:rPr>
        <w:t xml:space="preserve"> Exp Hematol Oncol. 2016;5:22.  </w:t>
      </w:r>
      <w:r w:rsidR="00F4152E" w:rsidRPr="00142A66">
        <w:rPr>
          <w:rFonts w:asciiTheme="minorBidi" w:hAnsiTheme="minorBidi" w:cstheme="minorBidi"/>
          <w:sz w:val="24"/>
          <w:szCs w:val="24"/>
        </w:rPr>
        <w:t xml:space="preserve">  </w:t>
      </w:r>
    </w:p>
    <w:p w:rsidR="00F4152E" w:rsidRPr="00142A66" w:rsidRDefault="00F4152E" w:rsidP="00F4152E">
      <w:pPr>
        <w:spacing w:after="0" w:line="240" w:lineRule="auto"/>
        <w:rPr>
          <w:rFonts w:asciiTheme="minorBidi" w:hAnsiTheme="minorBidi"/>
          <w:sz w:val="24"/>
          <w:szCs w:val="24"/>
        </w:rPr>
      </w:pPr>
    </w:p>
    <w:sectPr w:rsidR="00F4152E" w:rsidRPr="00142A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E8250A"/>
    <w:multiLevelType w:val="hybridMultilevel"/>
    <w:tmpl w:val="ED14B070"/>
    <w:lvl w:ilvl="0" w:tplc="6B56632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8E4"/>
    <w:rsid w:val="000B26F2"/>
    <w:rsid w:val="00142A66"/>
    <w:rsid w:val="005758B5"/>
    <w:rsid w:val="00A6479F"/>
    <w:rsid w:val="00CB38E4"/>
    <w:rsid w:val="00D01C0B"/>
    <w:rsid w:val="00F41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1D235F-FF3D-466F-AE0C-1725A7ADE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2A66"/>
    <w:pPr>
      <w:overflowPunct w:val="0"/>
      <w:autoSpaceDE w:val="0"/>
      <w:autoSpaceDN w:val="0"/>
      <w:adjustRightInd w:val="0"/>
      <w:spacing w:after="0" w:line="240" w:lineRule="auto"/>
      <w:ind w:left="720"/>
      <w:textAlignment w:val="baseline"/>
    </w:pPr>
    <w:rPr>
      <w:rFonts w:ascii="Times New Roman" w:eastAsia="Times New Roman" w:hAnsi="Times New Roman" w:cs="Times New Roman"/>
      <w:noProof/>
      <w:sz w:val="20"/>
      <w:szCs w:val="20"/>
    </w:rPr>
  </w:style>
  <w:style w:type="character" w:customStyle="1" w:styleId="apple-converted-space">
    <w:name w:val="apple-converted-space"/>
    <w:rsid w:val="00142A66"/>
  </w:style>
  <w:style w:type="paragraph" w:styleId="HTMLPreformatted">
    <w:name w:val="HTML Preformatted"/>
    <w:basedOn w:val="Normal"/>
    <w:link w:val="HTMLPreformattedChar"/>
    <w:uiPriority w:val="99"/>
    <w:unhideWhenUsed/>
    <w:rsid w:val="00142A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42A66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9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Alia Al Bawardi</dc:creator>
  <cp:keywords/>
  <dc:description/>
  <cp:lastModifiedBy>Alia Al Bawardi</cp:lastModifiedBy>
  <cp:revision>4</cp:revision>
  <dcterms:created xsi:type="dcterms:W3CDTF">2016-09-25T07:59:00Z</dcterms:created>
  <dcterms:modified xsi:type="dcterms:W3CDTF">2016-09-25T08:37:00Z</dcterms:modified>
</cp:coreProperties>
</file>