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AFE" w:rsidRDefault="00604722">
      <w:pPr>
        <w:pStyle w:val="Heading1"/>
        <w:spacing w:before="170"/>
        <w:ind w:left="0"/>
      </w:pPr>
      <w:r>
        <w:rPr>
          <w:color w:val="337AB7"/>
        </w:rPr>
        <w:t>Evaluation of Physician’s Awareness toward Acute Kidney Injury Management According to KDIGO guidelines in Khartoum state-Sudan</w:t>
      </w:r>
    </w:p>
    <w:p w:rsidR="00BB3AFE" w:rsidRDefault="00604722">
      <w:pPr>
        <w:pStyle w:val="BodyText"/>
        <w:spacing w:before="73" w:line="198" w:lineRule="exact"/>
        <w:ind w:left="100" w:right="5987"/>
        <w:rPr>
          <w:rFonts w:ascii="Arial"/>
        </w:rPr>
      </w:pPr>
      <w:r>
        <w:rPr>
          <w:rFonts w:ascii="Arial"/>
        </w:rPr>
        <w:t>Qusay O.M. Abdalla, B pharm, OIU, Sudan</w:t>
      </w:r>
    </w:p>
    <w:p w:rsidR="00BB3AFE" w:rsidRDefault="00604722">
      <w:pPr>
        <w:pStyle w:val="BodyText"/>
        <w:spacing w:before="73" w:line="198" w:lineRule="exact"/>
        <w:ind w:left="100" w:right="5987"/>
        <w:rPr>
          <w:rFonts w:ascii="Arial"/>
        </w:rPr>
      </w:pPr>
      <w:r>
        <w:rPr>
          <w:rFonts w:ascii="Arial"/>
        </w:rPr>
        <w:t>Mohamed Bushra Mohamed, B pharm, OIU, Sudan</w:t>
      </w:r>
    </w:p>
    <w:p w:rsidR="00BB3AFE" w:rsidRDefault="00604722">
      <w:pPr>
        <w:pStyle w:val="BodyText"/>
        <w:spacing w:before="73" w:line="198" w:lineRule="exact"/>
        <w:ind w:left="100" w:right="5987"/>
        <w:rPr>
          <w:rFonts w:ascii="Arial"/>
        </w:rPr>
      </w:pPr>
      <w:r>
        <w:rPr>
          <w:rFonts w:ascii="Arial"/>
        </w:rPr>
        <w:t>Ibrahim Mohamed Sharafeldeen, B pharm, OIU, Sudan</w:t>
      </w:r>
    </w:p>
    <w:p w:rsidR="00BB3AFE" w:rsidRDefault="004D4825">
      <w:pPr>
        <w:pStyle w:val="BodyText"/>
        <w:spacing w:before="73" w:line="198" w:lineRule="exact"/>
        <w:ind w:left="100" w:right="5987"/>
        <w:rPr>
          <w:rFonts w:ascii="Arial"/>
          <w:color w:val="FFFFFF"/>
        </w:rPr>
      </w:pPr>
      <w:r>
        <w:rPr>
          <w:rFonts w:ascii="Arial"/>
        </w:rPr>
        <w:t>Osama Ahmed M</w:t>
      </w:r>
      <w:r w:rsidR="00604722">
        <w:rPr>
          <w:rFonts w:ascii="Arial"/>
        </w:rPr>
        <w:t>ohammed</w:t>
      </w:r>
      <w:r>
        <w:rPr>
          <w:rFonts w:ascii="Arial"/>
        </w:rPr>
        <w:t>,</w:t>
      </w:r>
      <w:r w:rsidR="00604722">
        <w:rPr>
          <w:rFonts w:ascii="Arial"/>
        </w:rPr>
        <w:t xml:space="preserve"> B pharm, OIU, Sudan</w:t>
      </w:r>
    </w:p>
    <w:p w:rsidR="00BB3AFE" w:rsidRDefault="00604722">
      <w:pPr>
        <w:pStyle w:val="BodyText"/>
        <w:spacing w:before="73" w:line="198" w:lineRule="exact"/>
        <w:ind w:left="100" w:right="5987"/>
        <w:rPr>
          <w:rFonts w:ascii="Arial"/>
        </w:rPr>
      </w:pPr>
      <w:r>
        <w:rPr>
          <w:rFonts w:ascii="Arial"/>
        </w:rPr>
        <w:t>Enjy Issam Abdalwahab, MSc clinical pharmacy, OIU, Sudan</w:t>
      </w:r>
    </w:p>
    <w:p w:rsidR="00BB3AFE" w:rsidRDefault="00604722">
      <w:pPr>
        <w:pStyle w:val="BodyText"/>
        <w:spacing w:before="73" w:line="198" w:lineRule="exact"/>
        <w:ind w:left="100" w:right="5987"/>
        <w:rPr>
          <w:rFonts w:ascii="Arial"/>
        </w:rPr>
      </w:pPr>
      <w:r>
        <w:rPr>
          <w:rFonts w:ascii="Arial"/>
        </w:rPr>
        <w:t>Safa Yahia Mohammed, MSc clinical pharmacy, Omdurman Islamic University, Sudan</w:t>
      </w:r>
    </w:p>
    <w:p w:rsidR="00BB3AFE" w:rsidRDefault="00BB3AFE">
      <w:pPr>
        <w:pStyle w:val="BodyText"/>
        <w:spacing w:before="73" w:line="198" w:lineRule="exact"/>
        <w:ind w:left="100" w:right="5987"/>
        <w:rPr>
          <w:rFonts w:ascii="Arial"/>
          <w:sz w:val="20"/>
        </w:rPr>
        <w:sectPr w:rsidR="00BB3AFE">
          <w:headerReference w:type="default" r:id="rId7"/>
          <w:footerReference w:type="default" r:id="rId8"/>
          <w:type w:val="continuous"/>
          <w:pgSz w:w="11910" w:h="16840"/>
          <w:pgMar w:top="1740" w:right="600" w:bottom="840" w:left="620" w:header="541" w:footer="642" w:gutter="0"/>
          <w:cols w:space="720"/>
        </w:sectPr>
      </w:pPr>
    </w:p>
    <w:p w:rsidR="00BB3AFE" w:rsidRDefault="00FE24F8">
      <w:pPr>
        <w:pStyle w:val="Heading3"/>
        <w:spacing w:before="147"/>
        <w:jc w:val="both"/>
      </w:pPr>
      <w:r>
        <w:rPr>
          <w:color w:val="BF5A14"/>
        </w:rPr>
        <w:lastRenderedPageBreak/>
        <w:t>Abstract</w:t>
      </w:r>
    </w:p>
    <w:p w:rsidR="00BB3AFE" w:rsidRDefault="00604722">
      <w:pPr>
        <w:pStyle w:val="BodyText"/>
        <w:spacing w:before="90" w:line="280" w:lineRule="auto"/>
        <w:ind w:left="100"/>
        <w:jc w:val="both"/>
      </w:pPr>
      <w:r>
        <w:t>Acute kidney injury (AKI) is a common disease which has chronic complications and carries a high risk of mortality in Sudan. Despite enhanced education about AKI has been recommended to improve its management, till now no study has determined the gaps in knowledge or practice in Sudan. This study is one of the few studies that reflect the orientation of AKI management in developing countries. Study purpose: to evaluate the awareness among physicians toward management of AKI according to KDIGO guidelines. Methodology &amp; Theoretical Orientation: Descriptive cross-sectional questionnaire survey of 263 physicians via questionnaires sheets with face-to-face interviews, obtained from three main hospitals in Khartoum state, data were collected from May to September, 2016. All physicians’ professional degrees were included and the majority of them were females (54.75%). Findings: The Awareness among physicians toward management of AKI according to KDIGO guidelines expressed as score is found to be (57.85±14.04%, mean score ± Standard Deviation). Conclusion &amp; Significance: The awareness among physicians toward AKI management is found to be suboptimal and there is substantial requirement to improve their knowledge. There is Significant relationship between physician’s knowledge with continuous education (P= 0.005) and professional degree (P=0.013), while gender is not significantly related (P=0.480). There is a strong relation between hospital and knowledge of physicians (P=0.005)</w:t>
      </w:r>
      <w:r w:rsidR="00FE24F8">
        <w:t xml:space="preserve">, specialized hospital physicians get higher scores. </w:t>
      </w:r>
      <w:r>
        <w:t>Recommendation</w:t>
      </w:r>
      <w:r>
        <w:rPr>
          <w:b/>
          <w:bCs/>
        </w:rPr>
        <w:t xml:space="preserve">s: </w:t>
      </w:r>
      <w:r>
        <w:t>we recommend to perform Continuous education programs to improve the awareness and consequently AKI management. And to direct more studies and research toward AKI issue to improve its management and outcomes.</w:t>
      </w:r>
    </w:p>
    <w:p w:rsidR="00BB3AFE" w:rsidRDefault="00BB3AFE">
      <w:pPr>
        <w:pStyle w:val="BodyText"/>
        <w:spacing w:before="90" w:line="280" w:lineRule="auto"/>
        <w:ind w:left="100"/>
        <w:jc w:val="both"/>
      </w:pPr>
    </w:p>
    <w:p w:rsidR="00BB3AFE" w:rsidRDefault="00604722">
      <w:pPr>
        <w:pStyle w:val="BodyText"/>
        <w:spacing w:before="90" w:line="280" w:lineRule="auto"/>
        <w:ind w:left="100"/>
        <w:jc w:val="both"/>
        <w:rPr>
          <w:color w:val="BF5A14"/>
        </w:rPr>
      </w:pPr>
      <w:r>
        <w:rPr>
          <w:color w:val="BF5A14"/>
        </w:rPr>
        <w:lastRenderedPageBreak/>
        <w:t>Image</w:t>
      </w:r>
    </w:p>
    <w:p w:rsidR="00BB3AFE" w:rsidRDefault="00604722">
      <w:pPr>
        <w:pStyle w:val="BodyText"/>
        <w:spacing w:before="90" w:line="280" w:lineRule="auto"/>
        <w:ind w:left="100"/>
        <w:jc w:val="both"/>
      </w:pPr>
      <w:r>
        <w:rPr>
          <w:noProof/>
        </w:rPr>
        <w:drawing>
          <wp:inline distT="0" distB="0" distL="0" distR="0">
            <wp:extent cx="3245647" cy="1063869"/>
            <wp:effectExtent l="0" t="0" r="0" b="3175"/>
            <wp:docPr id="102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9" cstate="print">
                      <a:extLst>
                        <a:ext uri="{28A0092B-C50C-407E-A947-70E740481C1C}">
                          <a14:useLocalDpi xmlns:a14="http://schemas.microsoft.com/office/drawing/2010/main" val="0"/>
                        </a:ext>
                      </a:extLst>
                    </a:blip>
                    <a:srcRect/>
                    <a:stretch>
                      <a:fillRect/>
                    </a:stretch>
                  </pic:blipFill>
                  <pic:spPr>
                    <a:xfrm>
                      <a:off x="0" y="0"/>
                      <a:ext cx="3245647" cy="1063869"/>
                    </a:xfrm>
                    <a:prstGeom prst="rect">
                      <a:avLst/>
                    </a:prstGeom>
                  </pic:spPr>
                </pic:pic>
              </a:graphicData>
            </a:graphic>
          </wp:inline>
        </w:drawing>
      </w:r>
    </w:p>
    <w:p w:rsidR="00BB3AFE" w:rsidRDefault="00604722">
      <w:pPr>
        <w:pStyle w:val="BodyText"/>
        <w:spacing w:before="90" w:line="280" w:lineRule="auto"/>
        <w:ind w:left="100"/>
        <w:jc w:val="both"/>
        <w:rPr>
          <w:noProof/>
        </w:rPr>
      </w:pPr>
      <w:r>
        <w:rPr>
          <w:noProof/>
        </w:rPr>
        <w:t>Figure 1: Factors affect physicians awareness toward AKI manegment.</w:t>
      </w:r>
      <w:r w:rsidR="00FE24F8">
        <w:rPr>
          <w:rFonts w:ascii="Arial"/>
          <w:b/>
          <w:color w:val="BF5A14"/>
          <w:sz w:val="20"/>
        </w:rPr>
        <w:br/>
        <w:t>Recent Publications</w:t>
      </w:r>
    </w:p>
    <w:p w:rsidR="00BB3AFE" w:rsidRPr="004D4825" w:rsidRDefault="00604722">
      <w:pPr>
        <w:pStyle w:val="ListParagraph"/>
        <w:numPr>
          <w:ilvl w:val="0"/>
          <w:numId w:val="2"/>
        </w:numPr>
        <w:tabs>
          <w:tab w:val="left" w:pos="384"/>
        </w:tabs>
        <w:ind w:right="117"/>
        <w:rPr>
          <w:rFonts w:ascii="Tw Cen MT" w:hAnsi="Tw Cen MT"/>
          <w:sz w:val="18"/>
          <w:szCs w:val="18"/>
        </w:rPr>
      </w:pPr>
      <w:r w:rsidRPr="004D4825">
        <w:rPr>
          <w:rFonts w:ascii="Tw Cen MT" w:hAnsi="Tw Cen MT"/>
          <w:noProof/>
          <w:sz w:val="18"/>
          <w:szCs w:val="18"/>
        </w:rPr>
        <w:t xml:space="preserve">G. Xu, R. Baines, R. Westacott, N. Selby, and S. Carr, “An educational approach to improve outcomes in acute kidney injury ( AKI ): report of a quality improvement project,” </w:t>
      </w:r>
      <w:r w:rsidRPr="004D4825">
        <w:rPr>
          <w:rFonts w:ascii="Tw Cen MT" w:hAnsi="Tw Cen MT"/>
          <w:i/>
          <w:iCs/>
          <w:noProof/>
          <w:sz w:val="18"/>
          <w:szCs w:val="18"/>
        </w:rPr>
        <w:t>BMJ Open</w:t>
      </w:r>
      <w:r w:rsidRPr="004D4825">
        <w:rPr>
          <w:rFonts w:ascii="Tw Cen MT" w:hAnsi="Tw Cen MT"/>
          <w:noProof/>
          <w:sz w:val="18"/>
          <w:szCs w:val="18"/>
        </w:rPr>
        <w:t>, vol. 4, no. 3, pp. 1–10, 2014.</w:t>
      </w:r>
    </w:p>
    <w:p w:rsidR="00BB3AFE" w:rsidRPr="004D4825" w:rsidRDefault="00604722">
      <w:pPr>
        <w:pStyle w:val="ListParagraph"/>
        <w:numPr>
          <w:ilvl w:val="0"/>
          <w:numId w:val="2"/>
        </w:numPr>
        <w:tabs>
          <w:tab w:val="left" w:pos="384"/>
        </w:tabs>
        <w:ind w:right="117"/>
        <w:rPr>
          <w:rFonts w:ascii="Tw Cen MT" w:hAnsi="Tw Cen MT"/>
          <w:sz w:val="18"/>
          <w:szCs w:val="18"/>
        </w:rPr>
      </w:pPr>
      <w:r w:rsidRPr="004D4825">
        <w:rPr>
          <w:rFonts w:ascii="Tw Cen MT" w:hAnsi="Tw Cen MT"/>
          <w:noProof/>
          <w:sz w:val="18"/>
          <w:szCs w:val="18"/>
        </w:rPr>
        <w:t>T. Muniraju, M. Lillicrap, J. Horrocks, J. Fisher, R. Clark, and N. Kanagasundaram, “Diagnosis Main title and management of acute kidney injury</w:t>
      </w:r>
      <w:r w:rsidRPr="004D4825">
        <w:rPr>
          <w:rFonts w:ascii="Arial" w:hAnsi="Arial" w:cs="Arial"/>
          <w:noProof/>
          <w:sz w:val="18"/>
          <w:szCs w:val="18"/>
        </w:rPr>
        <w:t> </w:t>
      </w:r>
      <w:r w:rsidRPr="004D4825">
        <w:rPr>
          <w:rFonts w:ascii="Tw Cen MT" w:hAnsi="Tw Cen MT"/>
          <w:noProof/>
          <w:sz w:val="18"/>
          <w:szCs w:val="18"/>
        </w:rPr>
        <w:t xml:space="preserve">: deficiencies in the knowledge base of non-specialist , trainee medical staff,” </w:t>
      </w:r>
      <w:r w:rsidRPr="004D4825">
        <w:rPr>
          <w:rFonts w:ascii="Tw Cen MT" w:hAnsi="Tw Cen MT"/>
          <w:i/>
          <w:iCs/>
          <w:noProof/>
          <w:sz w:val="18"/>
          <w:szCs w:val="18"/>
        </w:rPr>
        <w:t>Clin. Med. (Northfield. Il).</w:t>
      </w:r>
      <w:r w:rsidRPr="004D4825">
        <w:rPr>
          <w:rFonts w:ascii="Tw Cen MT" w:hAnsi="Tw Cen MT"/>
          <w:noProof/>
          <w:sz w:val="18"/>
          <w:szCs w:val="18"/>
        </w:rPr>
        <w:t>, vol. 12, no. 3, pp. 216–221, 2012.</w:t>
      </w:r>
      <w:bookmarkStart w:id="0" w:name="_GoBack"/>
      <w:bookmarkEnd w:id="0"/>
    </w:p>
    <w:p w:rsidR="00BB3AFE" w:rsidRPr="004D4825" w:rsidRDefault="00604722">
      <w:pPr>
        <w:pStyle w:val="ListParagraph"/>
        <w:numPr>
          <w:ilvl w:val="0"/>
          <w:numId w:val="2"/>
        </w:numPr>
        <w:tabs>
          <w:tab w:val="left" w:pos="384"/>
        </w:tabs>
        <w:ind w:right="117"/>
        <w:rPr>
          <w:rFonts w:ascii="Tw Cen MT" w:hAnsi="Tw Cen MT"/>
          <w:sz w:val="18"/>
          <w:szCs w:val="18"/>
        </w:rPr>
      </w:pPr>
      <w:r w:rsidRPr="004D4825">
        <w:rPr>
          <w:rFonts w:ascii="Tw Cen MT" w:hAnsi="Tw Cen MT"/>
          <w:noProof/>
          <w:sz w:val="18"/>
          <w:szCs w:val="18"/>
        </w:rPr>
        <w:t xml:space="preserve">R. Evans, P. Rudd, U. Hemmila, H. Dobbie, and G. Dreyer, “Deficiencies in education and experience in the management of acute kidney injury among Malawian healthcare workers,” </w:t>
      </w:r>
      <w:r w:rsidRPr="004D4825">
        <w:rPr>
          <w:rFonts w:ascii="Tw Cen MT" w:hAnsi="Tw Cen MT"/>
          <w:i/>
          <w:iCs/>
          <w:noProof/>
          <w:sz w:val="18"/>
          <w:szCs w:val="18"/>
        </w:rPr>
        <w:t>Malawi Med. J.</w:t>
      </w:r>
      <w:r w:rsidRPr="004D4825">
        <w:rPr>
          <w:rFonts w:ascii="Tw Cen MT" w:hAnsi="Tw Cen MT"/>
          <w:noProof/>
          <w:sz w:val="18"/>
          <w:szCs w:val="18"/>
        </w:rPr>
        <w:t>, vol. 27, no. 3, pp. 101–103, 2015.</w:t>
      </w:r>
    </w:p>
    <w:p w:rsidR="00BB3AFE" w:rsidRPr="004D4825" w:rsidRDefault="00604722">
      <w:pPr>
        <w:pStyle w:val="NormalWeb"/>
        <w:numPr>
          <w:ilvl w:val="0"/>
          <w:numId w:val="2"/>
        </w:numPr>
        <w:rPr>
          <w:rFonts w:ascii="Tw Cen MT" w:hAnsi="Tw Cen MT"/>
          <w:noProof/>
          <w:sz w:val="18"/>
          <w:szCs w:val="18"/>
        </w:rPr>
      </w:pPr>
      <w:r w:rsidRPr="004D4825">
        <w:rPr>
          <w:rFonts w:ascii="Tw Cen MT" w:hAnsi="Tw Cen MT"/>
          <w:noProof/>
          <w:sz w:val="18"/>
          <w:szCs w:val="18"/>
        </w:rPr>
        <w:t xml:space="preserve">S. Naicker, O. Aboud, and M. B. Gharbi, “Epidemiology of Acute Kidney Injury in Africa,” </w:t>
      </w:r>
      <w:r w:rsidRPr="004D4825">
        <w:rPr>
          <w:rFonts w:ascii="Tw Cen MT" w:hAnsi="Tw Cen MT"/>
          <w:i/>
          <w:iCs/>
          <w:noProof/>
          <w:sz w:val="18"/>
          <w:szCs w:val="18"/>
        </w:rPr>
        <w:t>Semin. Nephrol.</w:t>
      </w:r>
      <w:r w:rsidRPr="004D4825">
        <w:rPr>
          <w:rFonts w:ascii="Tw Cen MT" w:hAnsi="Tw Cen MT"/>
          <w:noProof/>
          <w:sz w:val="18"/>
          <w:szCs w:val="18"/>
        </w:rPr>
        <w:t>, vol. 28, no. 4, pp. 348–353, 2008.</w:t>
      </w:r>
    </w:p>
    <w:p w:rsidR="00BB3AFE" w:rsidRPr="004D4825" w:rsidRDefault="00604722">
      <w:pPr>
        <w:pStyle w:val="ListParagraph"/>
        <w:numPr>
          <w:ilvl w:val="0"/>
          <w:numId w:val="2"/>
        </w:numPr>
        <w:tabs>
          <w:tab w:val="left" w:pos="384"/>
        </w:tabs>
        <w:ind w:right="117"/>
        <w:rPr>
          <w:rFonts w:ascii="Tw Cen MT" w:hAnsi="Tw Cen MT"/>
          <w:sz w:val="18"/>
          <w:szCs w:val="18"/>
        </w:rPr>
      </w:pPr>
      <w:r w:rsidRPr="004D4825">
        <w:rPr>
          <w:rFonts w:ascii="Tw Cen MT" w:hAnsi="Tw Cen MT"/>
          <w:noProof/>
          <w:sz w:val="18"/>
          <w:szCs w:val="18"/>
        </w:rPr>
        <w:t xml:space="preserve">J. a Kellum, N. Lameire, P. Aspelin, R. S. Barsoum, E. a Burdmann, S. L. Goldstein et al, “KDIGO Clinical Practice Guideline for Acute Kidney Injury,” </w:t>
      </w:r>
      <w:r w:rsidRPr="004D4825">
        <w:rPr>
          <w:rFonts w:ascii="Tw Cen MT" w:hAnsi="Tw Cen MT"/>
          <w:i/>
          <w:iCs/>
          <w:noProof/>
          <w:sz w:val="18"/>
          <w:szCs w:val="18"/>
        </w:rPr>
        <w:t>Kidney Int. Suppl.</w:t>
      </w:r>
      <w:r w:rsidRPr="004D4825">
        <w:rPr>
          <w:rFonts w:ascii="Tw Cen MT" w:hAnsi="Tw Cen MT"/>
          <w:noProof/>
          <w:sz w:val="18"/>
          <w:szCs w:val="18"/>
        </w:rPr>
        <w:t>, vol. 2, no. 1, pp. 1–138, 2012.</w:t>
      </w:r>
    </w:p>
    <w:p w:rsidR="00BB3AFE" w:rsidRDefault="00BB3AFE">
      <w:pPr>
        <w:tabs>
          <w:tab w:val="left" w:pos="384"/>
        </w:tabs>
        <w:ind w:right="117"/>
        <w:rPr>
          <w:sz w:val="18"/>
          <w:szCs w:val="18"/>
        </w:rPr>
        <w:sectPr w:rsidR="00BB3AFE">
          <w:type w:val="continuous"/>
          <w:pgSz w:w="11910" w:h="16840"/>
          <w:pgMar w:top="1740" w:right="600" w:bottom="840" w:left="620" w:header="720" w:footer="720" w:gutter="0"/>
          <w:cols w:num="2" w:space="720" w:equalWidth="0">
            <w:col w:w="5214" w:space="138"/>
            <w:col w:w="5338"/>
          </w:cols>
        </w:sectPr>
      </w:pPr>
    </w:p>
    <w:p w:rsidR="00BB3AFE" w:rsidRDefault="00BB3AFE">
      <w:pPr>
        <w:pStyle w:val="BodyText"/>
      </w:pPr>
    </w:p>
    <w:p w:rsidR="00BB3AFE" w:rsidRDefault="00845312">
      <w:pPr>
        <w:pStyle w:val="BodyText"/>
        <w:spacing w:line="40" w:lineRule="exact"/>
        <w:ind w:left="2202"/>
        <w:rPr>
          <w:rFonts w:ascii="Calibri"/>
          <w:sz w:val="4"/>
        </w:rPr>
      </w:pPr>
      <w:r>
        <w:rPr>
          <w:rFonts w:ascii="Calibri"/>
          <w:noProof/>
          <w:sz w:val="4"/>
        </w:rPr>
      </w:r>
      <w:r>
        <w:rPr>
          <w:rFonts w:ascii="Calibri"/>
          <w:noProof/>
          <w:sz w:val="4"/>
        </w:rPr>
        <w:pict>
          <v:group id="1027" o:spid="_x0000_s1027" style="width:313.05pt;height:2pt;mso-position-horizontal-relative:char;mso-position-vertical-relative:line" coordsize="6261,40">
            <o:lock v:ext="edit" position="t"/>
            <v:line id="1028" o:spid="_x0000_s1028" style="position:absolute;visibility:visible;mso-position-horizontal-relative:text;mso-position-vertical-relative:text;mso-width-relative:page;mso-height-relative:page" from="20,20" to="6241,20" strokecolor="#004080" strokeweight="2pt"/>
            <w10:wrap type="none"/>
            <w10:anchorlock/>
          </v:group>
        </w:pict>
      </w:r>
    </w:p>
    <w:p w:rsidR="00BB3AFE" w:rsidRDefault="00604722">
      <w:pPr>
        <w:spacing w:before="92"/>
        <w:ind w:right="4234"/>
        <w:rPr>
          <w:rFonts w:ascii="Arial"/>
        </w:rPr>
      </w:pPr>
      <w:r>
        <w:rPr>
          <w:noProof/>
        </w:rPr>
        <w:t xml:space="preserve">              </w:t>
      </w:r>
      <w:r>
        <w:rPr>
          <w:noProof/>
        </w:rPr>
        <w:drawing>
          <wp:inline distT="0" distB="0" distL="0" distR="0">
            <wp:extent cx="453432" cy="671945"/>
            <wp:effectExtent l="0" t="0" r="3810" b="0"/>
            <wp:docPr id="1030" name="Image1" descr="DSC_0012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10" cstate="print">
                      <a:extLst>
                        <a:ext uri="{28A0092B-C50C-407E-A947-70E740481C1C}">
                          <a14:useLocalDpi xmlns:a14="http://schemas.microsoft.com/office/drawing/2010/main" val="0"/>
                        </a:ext>
                      </a:extLst>
                    </a:blip>
                    <a:srcRect/>
                    <a:stretch>
                      <a:fillRect/>
                    </a:stretch>
                  </pic:blipFill>
                  <pic:spPr>
                    <a:xfrm>
                      <a:off x="0" y="0"/>
                      <a:ext cx="453432" cy="671945"/>
                    </a:xfrm>
                    <a:prstGeom prst="rect">
                      <a:avLst/>
                    </a:prstGeom>
                  </pic:spPr>
                </pic:pic>
              </a:graphicData>
            </a:graphic>
          </wp:inline>
        </w:drawing>
      </w:r>
      <w:r>
        <w:rPr>
          <w:noProof/>
        </w:rPr>
        <w:t xml:space="preserve"> </w:t>
      </w:r>
      <w:r w:rsidR="00FE24F8">
        <w:rPr>
          <w:rFonts w:ascii="Arial"/>
          <w:color w:val="BF5A14"/>
        </w:rPr>
        <w:t xml:space="preserve">Biography </w:t>
      </w:r>
    </w:p>
    <w:p w:rsidR="00BB3AFE" w:rsidRDefault="00604722">
      <w:pPr>
        <w:spacing w:before="41" w:line="154" w:lineRule="exact"/>
        <w:ind w:left="213" w:right="231"/>
        <w:jc w:val="both"/>
        <w:rPr>
          <w:rFonts w:ascii="Arial"/>
          <w:sz w:val="14"/>
        </w:rPr>
      </w:pPr>
      <w:r>
        <w:rPr>
          <w:rFonts w:ascii="Arial"/>
          <w:sz w:val="14"/>
        </w:rPr>
        <w:t>Qusay Osman Mohamed Abdalla is a young researcher, has received his Bachelor of pharmacy with emphasis in clinical pharmacy from Omdurman Islamic university in 2016. He is working as attached teacher assistant at clinical pharmacy department at Omdurman Islamic university, he is attached researcher assistant at the national center for research.</w:t>
      </w:r>
    </w:p>
    <w:p w:rsidR="00BB3AFE" w:rsidRDefault="00604722">
      <w:pPr>
        <w:spacing w:before="62"/>
        <w:ind w:left="4217" w:right="4235"/>
        <w:jc w:val="center"/>
        <w:rPr>
          <w:rFonts w:ascii="Arial"/>
          <w:sz w:val="14"/>
        </w:rPr>
      </w:pPr>
      <w:r>
        <w:rPr>
          <w:rFonts w:ascii="Arial"/>
          <w:sz w:val="14"/>
        </w:rPr>
        <w:t xml:space="preserve">Email: </w:t>
      </w:r>
      <w:hyperlink r:id="rId11" w:history="1">
        <w:r>
          <w:rPr>
            <w:rStyle w:val="Hyperlink"/>
            <w:rFonts w:ascii="Arial"/>
            <w:sz w:val="14"/>
          </w:rPr>
          <w:t>qusayosman22@gmail.com</w:t>
        </w:r>
      </w:hyperlink>
    </w:p>
    <w:p w:rsidR="00BB3AFE" w:rsidRDefault="00845312">
      <w:pPr>
        <w:pStyle w:val="BodyText"/>
        <w:spacing w:before="2"/>
        <w:rPr>
          <w:rFonts w:ascii="Arial"/>
          <w:sz w:val="19"/>
        </w:rPr>
      </w:pPr>
      <w:r>
        <w:rPr>
          <w:noProof/>
        </w:rPr>
        <w:pict>
          <v:line id="1031" o:spid="_x0000_s1026" style="position:absolute;z-index:2;visibility:visible;mso-width-percent:0;mso-height-percent:0;mso-wrap-distance-left:0;mso-wrap-distance-right:0;mso-position-horizontal-relative:page;mso-position-vertical-relative:text;mso-width-percent:0;mso-height-percent:0;mso-width-relative:page;mso-height-relative:page" from="162.1pt,13.25pt" to="433.15pt,13.25pt" strokecolor="#004080" strokeweight=".5pt">
            <w10:wrap type="topAndBottom" anchorx="page"/>
          </v:line>
        </w:pict>
      </w:r>
    </w:p>
    <w:p w:rsidR="00BB3AFE" w:rsidRDefault="00BB3AFE">
      <w:pPr>
        <w:pStyle w:val="BodyText"/>
        <w:rPr>
          <w:rFonts w:ascii="Arial"/>
          <w:sz w:val="20"/>
        </w:rPr>
      </w:pPr>
    </w:p>
    <w:p w:rsidR="00BB3AFE" w:rsidRDefault="00BB3AFE">
      <w:pPr>
        <w:pStyle w:val="BodyText"/>
        <w:spacing w:before="7"/>
        <w:rPr>
          <w:rFonts w:ascii="Arial"/>
          <w:sz w:val="29"/>
        </w:rPr>
      </w:pPr>
    </w:p>
    <w:p w:rsidR="00BB3AFE" w:rsidRDefault="00604722">
      <w:pPr>
        <w:spacing w:before="39"/>
        <w:ind w:left="100"/>
        <w:rPr>
          <w:rFonts w:ascii="Minion Pro"/>
          <w:b/>
          <w:sz w:val="20"/>
        </w:rPr>
        <w:sectPr w:rsidR="00BB3AFE">
          <w:type w:val="continuous"/>
          <w:pgSz w:w="11910" w:h="16840"/>
          <w:pgMar w:top="1740" w:right="600" w:bottom="840" w:left="620" w:header="720" w:footer="720" w:gutter="0"/>
          <w:cols w:space="720"/>
        </w:sectPr>
      </w:pPr>
      <w:r>
        <w:rPr>
          <w:rFonts w:ascii="Minion Pro"/>
          <w:b/>
          <w:sz w:val="20"/>
        </w:rPr>
        <w:t>Notes/Comments:</w:t>
      </w:r>
    </w:p>
    <w:p w:rsidR="00BB3AFE" w:rsidRDefault="00BB3AFE">
      <w:pPr>
        <w:pStyle w:val="BodyText"/>
        <w:spacing w:before="3"/>
        <w:rPr>
          <w:rFonts w:ascii="Minion Pro"/>
          <w:sz w:val="26"/>
        </w:rPr>
      </w:pPr>
    </w:p>
    <w:sectPr w:rsidR="00BB3AFE">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5312" w:rsidRDefault="00845312">
      <w:r>
        <w:separator/>
      </w:r>
    </w:p>
  </w:endnote>
  <w:endnote w:type="continuationSeparator" w:id="0">
    <w:p w:rsidR="00845312" w:rsidRDefault="00845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variable"/>
    <w:sig w:usb0="00000001" w:usb1="00000001"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Souvenir Lt BT">
    <w:altName w:val="Georgia"/>
    <w:charset w:val="00"/>
    <w:family w:val="roman"/>
    <w:pitch w:val="variable"/>
    <w:sig w:usb0="00000001" w:usb1="00000000" w:usb2="00000000" w:usb3="00000000" w:csb0="0000001B" w:csb1="00000000"/>
  </w:font>
  <w:font w:name="Myriad Pro">
    <w:altName w:val="Corbel"/>
    <w:charset w:val="00"/>
    <w:family w:val="swiss"/>
    <w:pitch w:val="variable"/>
    <w:sig w:usb0="A00002AF" w:usb1="5000204B"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3AFE" w:rsidRDefault="00845312">
    <w:pPr>
      <w:pStyle w:val="BodyText"/>
      <w:spacing w:line="14" w:lineRule="auto"/>
      <w:rPr>
        <w:sz w:val="20"/>
      </w:rPr>
    </w:pPr>
    <w:r>
      <w:rPr>
        <w:noProof/>
      </w:rPr>
      <w:pict>
        <v:shapetype id="_x0000_t202" coordsize="21600,21600" o:spt="202" path="m,l,21600r21600,l21600,xe">
          <v:stroke joinstyle="miter"/>
          <v:path gradientshapeok="t" o:connecttype="rect"/>
        </v:shapetype>
        <v:shape id="4100" o:spid="_x0000_s2051" type="#_x0000_t202" style="position:absolute;margin-left:35pt;margin-top:798.8pt;width:168.2pt;height:19.6pt;z-index:-251658752;visibility:visible;mso-width-percent:0;mso-height-percent:0;mso-wrap-distance-left:0;mso-wrap-distance-right:0;mso-position-horizontal-relative:page;mso-position-vertical-relative:page;mso-width-percent:0;mso-height-percent:0;mso-width-relative:page;mso-height-relative:page" filled="f" stroked="f">
          <v:textbox inset="0,0,0,0">
            <w:txbxContent>
              <w:p w:rsidR="00BB3AFE" w:rsidRDefault="00604722">
                <w:pPr>
                  <w:spacing w:line="184" w:lineRule="exact"/>
                  <w:ind w:left="20" w:right="-12"/>
                  <w:rPr>
                    <w:rFonts w:ascii="Arial"/>
                    <w:color w:val="FFFFFF"/>
                    <w:sz w:val="16"/>
                  </w:rPr>
                </w:pPr>
                <w:r>
                  <w:rPr>
                    <w:rFonts w:ascii="Arial"/>
                    <w:color w:val="FFFFFF"/>
                    <w:sz w:val="16"/>
                  </w:rPr>
                  <w:t>J Pain Relief</w:t>
                </w:r>
              </w:p>
              <w:p w:rsidR="00BB3AFE" w:rsidRDefault="00604722">
                <w:pPr>
                  <w:spacing w:before="8"/>
                  <w:ind w:left="20" w:right="-12"/>
                  <w:rPr>
                    <w:rFonts w:ascii="Arial"/>
                    <w:color w:val="FFFFFF"/>
                    <w:sz w:val="16"/>
                  </w:rPr>
                </w:pPr>
                <w:r>
                  <w:rPr>
                    <w:rFonts w:ascii="Arial"/>
                    <w:color w:val="FFFFFF"/>
                    <w:sz w:val="16"/>
                  </w:rPr>
                  <w:t>ISSN: 2167-0846 JPAR an open access journa</w:t>
                </w:r>
              </w:p>
            </w:txbxContent>
          </v:textbox>
          <w10:wrap anchorx="page" anchory="page"/>
        </v:shape>
      </w:pict>
    </w:r>
    <w:r>
      <w:rPr>
        <w:noProof/>
      </w:rPr>
      <w:pict>
        <v:shape id="4101" o:spid="_x0000_s2050" type="#_x0000_t202" style="position:absolute;margin-left:252.1pt;margin-top:799.05pt;width:91.9pt;height:24.95pt;z-index:-251657728;visibility:visible;mso-width-percent:0;mso-height-percent:0;mso-wrap-distance-left:0;mso-wrap-distance-right:0;mso-position-horizontal-relative:page;mso-position-vertical-relative:page;mso-width-percent:0;mso-height-percent:0;mso-width-relative:page;mso-height-relative:page" filled="f" stroked="f">
          <v:textbox inset="0,0,0,0">
            <w:txbxContent>
              <w:p w:rsidR="00BB3AFE" w:rsidRDefault="00604722">
                <w:pPr>
                  <w:spacing w:line="269" w:lineRule="exact"/>
                  <w:jc w:val="center"/>
                  <w:rPr>
                    <w:rFonts w:ascii="Impact"/>
                    <w:color w:val="FFFFFF"/>
                    <w:sz w:val="24"/>
                  </w:rPr>
                </w:pPr>
                <w:r>
                  <w:rPr>
                    <w:rFonts w:ascii="Impact"/>
                    <w:color w:val="FFFFFF"/>
                    <w:sz w:val="24"/>
                  </w:rPr>
                  <w:t>Fibromyalgia 2016</w:t>
                </w:r>
              </w:p>
              <w:p w:rsidR="00BB3AFE" w:rsidRDefault="00604722">
                <w:pPr>
                  <w:spacing w:before="29"/>
                  <w:jc w:val="center"/>
                  <w:rPr>
                    <w:rFonts w:ascii="Arial"/>
                    <w:color w:val="FFFFFF"/>
                    <w:sz w:val="16"/>
                  </w:rPr>
                </w:pPr>
                <w:r>
                  <w:rPr>
                    <w:rFonts w:ascii="Arial"/>
                    <w:color w:val="FFFFFF"/>
                    <w:sz w:val="16"/>
                  </w:rPr>
                  <w:t>June 15-16, 2016</w:t>
                </w:r>
              </w:p>
            </w:txbxContent>
          </v:textbox>
          <w10:wrap anchorx="page" anchory="page"/>
        </v:shape>
      </w:pict>
    </w:r>
    <w:r>
      <w:rPr>
        <w:noProof/>
      </w:rPr>
      <w:pict>
        <v:shape id="4102" o:spid="_x0000_s2049" type="#_x0000_t202" style="position:absolute;margin-left:468.9pt;margin-top:798.8pt;width:91.4pt;height:26.05pt;z-index:-251656704;visibility:visible;mso-width-percent:0;mso-height-percent:0;mso-wrap-distance-left:0;mso-wrap-distance-right:0;mso-position-horizontal-relative:page;mso-position-vertical-relative:page;mso-width-percent:0;mso-height-percent:0;mso-width-relative:page;mso-height-relative:page" filled="f" stroked="f">
          <v:textbox inset="0,0,0,0">
            <w:txbxContent>
              <w:p w:rsidR="00BB3AFE" w:rsidRDefault="00604722">
                <w:pPr>
                  <w:spacing w:line="184" w:lineRule="exact"/>
                  <w:ind w:right="18"/>
                  <w:jc w:val="right"/>
                  <w:rPr>
                    <w:rFonts w:ascii="Arial"/>
                    <w:color w:val="FFFFFF"/>
                    <w:sz w:val="16"/>
                  </w:rPr>
                </w:pPr>
                <w:r>
                  <w:rPr>
                    <w:rFonts w:ascii="Arial"/>
                    <w:color w:val="FFFFFF"/>
                    <w:sz w:val="16"/>
                  </w:rPr>
                  <w:t>Volume 5, Issue 3(Suppl)</w:t>
                </w:r>
              </w:p>
              <w:p w:rsidR="00BB3AFE" w:rsidRDefault="00604722">
                <w:pPr>
                  <w:spacing w:before="116"/>
                  <w:ind w:right="18"/>
                  <w:jc w:val="right"/>
                  <w:rPr>
                    <w:rFonts w:ascii="Minion Pro"/>
                    <w:color w:val="FFFFFF"/>
                    <w:sz w:val="16"/>
                  </w:rPr>
                </w:pPr>
                <w:r>
                  <w:rPr>
                    <w:rFonts w:ascii="Minion Pro"/>
                    <w:color w:val="FFFFFF"/>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5312" w:rsidRDefault="00845312">
      <w:r>
        <w:separator/>
      </w:r>
    </w:p>
  </w:footnote>
  <w:footnote w:type="continuationSeparator" w:id="0">
    <w:p w:rsidR="00845312" w:rsidRDefault="008453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3AFE" w:rsidRDefault="00845312">
    <w:pPr>
      <w:pStyle w:val="BodyText"/>
      <w:spacing w:line="14" w:lineRule="auto"/>
      <w:rPr>
        <w:sz w:val="20"/>
      </w:rPr>
    </w:pPr>
    <w:r>
      <w:rPr>
        <w:noProof/>
      </w:rPr>
      <w:pict>
        <v:shapetype id="_x0000_t202" coordsize="21600,21600" o:spt="202" path="m,l,21600r21600,l21600,xe">
          <v:stroke joinstyle="miter"/>
          <v:path gradientshapeok="t" o:connecttype="rect"/>
        </v:shapetype>
        <v:shape id="4098" o:spid="_x0000_s2053" type="#_x0000_t202" style="position:absolute;margin-left:416pt;margin-top:26.05pt;width:144.3pt;height:17.4pt;z-index:-251660800;visibility:visible;mso-width-percent:0;mso-height-percent:0;mso-wrap-distance-left:0;mso-wrap-distance-right:0;mso-position-horizontal-relative:page;mso-position-vertical-relative:page;mso-width-percent:0;mso-height-percent:0;mso-width-relative:page;mso-height-relative:page" filled="f" stroked="f">
          <v:textbox inset="0,0,0,0">
            <w:txbxContent>
              <w:p w:rsidR="00BB3AFE" w:rsidRDefault="00604722">
                <w:pPr>
                  <w:spacing w:before="2" w:line="249" w:lineRule="auto"/>
                  <w:ind w:left="156" w:right="18" w:hanging="137"/>
                  <w:rPr>
                    <w:rFonts w:ascii="Arial"/>
                    <w:color w:val="FFFFFF"/>
                    <w:sz w:val="14"/>
                  </w:rPr>
                </w:pPr>
                <w:r>
                  <w:rPr>
                    <w:rFonts w:ascii="Arial"/>
                    <w:color w:val="FFFFFF"/>
                    <w:sz w:val="14"/>
                  </w:rPr>
                  <w:t>T Furuta et al., J Pai n Relief 2016, 5:3(</w:t>
                </w:r>
                <w:proofErr w:type="spellStart"/>
                <w:r>
                  <w:rPr>
                    <w:rFonts w:ascii="Arial"/>
                    <w:color w:val="FFFFFF"/>
                    <w:sz w:val="14"/>
                  </w:rPr>
                  <w:t>Suppl</w:t>
                </w:r>
                <w:proofErr w:type="spellEnd"/>
                <w:r>
                  <w:rPr>
                    <w:rFonts w:ascii="Arial"/>
                    <w:color w:val="FFFFFF"/>
                    <w:sz w:val="14"/>
                  </w:rPr>
                  <w:t xml:space="preserve">) </w:t>
                </w:r>
                <w:hyperlink r:id="rId1" w:history="1">
                  <w:r>
                    <w:rPr>
                      <w:rFonts w:ascii="Arial"/>
                      <w:color w:val="FFFFFF"/>
                      <w:sz w:val="14"/>
                    </w:rPr>
                    <w:t>http://dx.doi.org/10.4172/2167-0846.C1.006</w:t>
                  </w:r>
                </w:hyperlink>
              </w:p>
            </w:txbxContent>
          </v:textbox>
          <w10:wrap anchorx="page" anchory="page"/>
        </v:shape>
      </w:pict>
    </w:r>
    <w:r>
      <w:rPr>
        <w:noProof/>
      </w:rPr>
      <w:pict>
        <v:shape id="4099" o:spid="_x0000_s2052" type="#_x0000_t202" style="position:absolute;margin-left:35pt;margin-top:48.3pt;width:515.95pt;height:40.1pt;z-index:-251659776;visibility:visible;mso-width-percent:0;mso-height-percent:0;mso-wrap-distance-left:0;mso-wrap-distance-right:0;mso-position-horizontal-relative:page;mso-position-vertical-relative:page;mso-width-percent:0;mso-height-percent:0;mso-width-relative:page;mso-height-relative:page" filled="f" stroked="f">
          <v:textbox inset="0,0,0,0">
            <w:txbxContent>
              <w:p w:rsidR="00BB3AFE" w:rsidRDefault="00604722">
                <w:pPr>
                  <w:pStyle w:val="BodyText"/>
                  <w:spacing w:line="187" w:lineRule="exact"/>
                  <w:ind w:left="20" w:right="-10"/>
                  <w:rPr>
                    <w:rFonts w:ascii="Myriad Pro"/>
                    <w:color w:val="FFFFFF"/>
                  </w:rPr>
                </w:pPr>
                <w:r>
                  <w:rPr>
                    <w:rFonts w:ascii="Myriad Pro"/>
                    <w:color w:val="FFFFFF"/>
                  </w:rPr>
                  <w:t>International Conference on</w:t>
                </w:r>
              </w:p>
              <w:p w:rsidR="00BB3AFE" w:rsidRDefault="00604722">
                <w:pPr>
                  <w:spacing w:line="614" w:lineRule="exact"/>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1">
    <w:nsid w:val="00000002"/>
    <w:multiLevelType w:val="hybridMultilevel"/>
    <w:tmpl w:val="10EA5A4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7ED509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num>
  <w:num w:numId="2">
    <w:abstractNumId w:val="1"/>
  </w:num>
  <w:num w:numId="3">
    <w:abstractNumId w:val="0"/>
  </w:num>
  <w:num w:numId="4">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AFE"/>
    <w:rsid w:val="004D4825"/>
    <w:rsid w:val="00604722"/>
    <w:rsid w:val="00845312"/>
    <w:rsid w:val="00BB3AFE"/>
    <w:rsid w:val="00FE24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2C6BA941-C063-4582-A40B-9C5B5DE7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w Cen MT" w:eastAsia="Tw Cen MT" w:hAnsi="Tw Cen MT" w:cs="Tw Cen MT"/>
    </w:rPr>
  </w:style>
  <w:style w:type="paragraph" w:styleId="Heading1">
    <w:name w:val="heading 1"/>
    <w:basedOn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pPr>
      <w:ind w:left="100"/>
      <w:outlineLvl w:val="1"/>
    </w:pPr>
    <w:rPr>
      <w:rFonts w:ascii="Minion Pro" w:eastAsia="Minion Pro" w:hAnsi="Minion Pro" w:cs="Minion Pro"/>
      <w:sz w:val="24"/>
      <w:szCs w:val="24"/>
    </w:rPr>
  </w:style>
  <w:style w:type="paragraph" w:styleId="Heading3">
    <w:name w:val="heading 3"/>
    <w:basedOn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w Cen MT" w:eastAsia="Tw Cen MT" w:hAnsi="Tw Cen MT" w:cs="Tw Cen MT"/>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w Cen MT" w:eastAsia="Tw Cen MT" w:hAnsi="Tw Cen MT" w:cs="Tw Cen MT"/>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w Cen MT" w:hAnsi="Tahoma" w:cs="Tahoma"/>
      <w:sz w:val="16"/>
      <w:szCs w:val="16"/>
    </w:rPr>
  </w:style>
  <w:style w:type="character" w:styleId="Hyperlink">
    <w:name w:val="Hyperlink"/>
    <w:basedOn w:val="DefaultParagraphFont"/>
    <w:uiPriority w:val="99"/>
    <w:rPr>
      <w:color w:val="0000FF"/>
      <w:u w:val="single"/>
    </w:rPr>
  </w:style>
  <w:style w:type="character" w:customStyle="1" w:styleId="BodyTextChar">
    <w:name w:val="Body Text Char"/>
    <w:basedOn w:val="DefaultParagraphFont"/>
    <w:link w:val="BodyText"/>
    <w:uiPriority w:val="1"/>
    <w:rPr>
      <w:rFonts w:ascii="Tw Cen MT" w:eastAsia="Tw Cen MT" w:hAnsi="Tw Cen MT" w:cs="Tw Cen MT"/>
      <w:sz w:val="18"/>
      <w:szCs w:val="18"/>
    </w:rPr>
  </w:style>
  <w:style w:type="paragraph" w:styleId="NormalWeb">
    <w:name w:val="Normal (Web)"/>
    <w:basedOn w:val="Normal"/>
    <w:uiPriority w:val="99"/>
    <w:pPr>
      <w:widowControl/>
      <w:spacing w:before="100" w:beforeAutospacing="1" w:after="100" w:afterAutospacing="1"/>
      <w:ind w:firstLine="216"/>
    </w:pPr>
    <w:rPr>
      <w:rFonts w:ascii="Souvenir Lt BT" w:eastAsia="Times New Roman" w:hAnsi="Souvenir Lt BT"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qusayosman22@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2875</TotalTime>
  <Pages>1</Pages>
  <Words>581</Words>
  <Characters>3317</Characters>
  <Application>Microsoft Office Word</Application>
  <DocSecurity>0</DocSecurity>
  <Lines>27</Lines>
  <Paragraphs>7</Paragraphs>
  <ScaleCrop>false</ScaleCrop>
  <Company>Microsoft</Company>
  <LinksUpToDate>false</LinksUpToDate>
  <CharactersWithSpaces>3891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Qusay Osman</dc:creator>
  <cp:lastModifiedBy>Qusay Osman</cp:lastModifiedBy>
  <cp:revision>21</cp:revision>
  <dcterms:created xsi:type="dcterms:W3CDTF">2017-08-26T10:31:00Z</dcterms:created>
  <dcterms:modified xsi:type="dcterms:W3CDTF">2017-09-18T10:22:00Z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