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310B4F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D60A8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5pt;height:175.8pt">
            <v:imagedata r:id="rId8" o:title="Photo" cropbottom="10529f"/>
          </v:shape>
        </w:pict>
      </w:r>
    </w:p>
    <w:p w:rsidR="00310B4F" w:rsidRPr="00C21949" w:rsidRDefault="00AC3BCD" w:rsidP="00310B4F">
      <w:pPr>
        <w:shd w:val="clear" w:color="auto" w:fill="FFFFFF" w:themeFill="background1"/>
        <w:jc w:val="center"/>
        <w:rPr>
          <w:b/>
          <w:bCs/>
          <w:rtl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10B4F">
        <w:rPr>
          <w:b/>
          <w:bCs/>
        </w:rPr>
        <w:t>A</w:t>
      </w:r>
      <w:bookmarkStart w:id="0" w:name="_GoBack"/>
      <w:bookmarkEnd w:id="0"/>
      <w:r w:rsidR="00310B4F">
        <w:rPr>
          <w:b/>
          <w:bCs/>
        </w:rPr>
        <w:t xml:space="preserve">  MOLECULAR STUDY </w:t>
      </w:r>
      <w:r w:rsidR="00310B4F" w:rsidRPr="00C21949">
        <w:rPr>
          <w:b/>
          <w:bCs/>
        </w:rPr>
        <w:t>ON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PSEUDOMONAS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CLINICAL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ISOLATES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CAUSING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NOSOCOMIAL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INFECTIONS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IN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ALEXANDRIA</w:t>
      </w:r>
      <w:r w:rsidR="00310B4F">
        <w:rPr>
          <w:b/>
          <w:bCs/>
        </w:rPr>
        <w:t xml:space="preserve"> </w:t>
      </w:r>
      <w:r w:rsidR="00310B4F" w:rsidRPr="00C21949">
        <w:rPr>
          <w:b/>
          <w:bCs/>
        </w:rPr>
        <w:t>AND</w:t>
      </w:r>
      <w:r w:rsidR="00310B4F">
        <w:rPr>
          <w:b/>
          <w:bCs/>
        </w:rPr>
        <w:t xml:space="preserve"> DAMANHOUR, EGYPT</w:t>
      </w:r>
    </w:p>
    <w:p w:rsidR="00310B4F" w:rsidRDefault="00AC3BCD" w:rsidP="00310B4F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310B4F">
        <w:rPr>
          <w:rFonts w:eastAsia="MS PGothic" w:hAnsi="Arial"/>
          <w:color w:val="000000"/>
        </w:rPr>
        <w:t>Sarah Magdy Abdelhamid</w:t>
      </w:r>
    </w:p>
    <w:p w:rsidR="00310B4F" w:rsidRDefault="00310B4F" w:rsidP="00310B4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Faculty of Pharmacy</w:t>
      </w:r>
    </w:p>
    <w:p w:rsidR="00AC3BCD" w:rsidRDefault="00AC3BCD" w:rsidP="00310B4F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310B4F">
        <w:rPr>
          <w:rFonts w:eastAsia="MS PGothic" w:hAnsi="Arial"/>
          <w:color w:val="000000"/>
        </w:rPr>
        <w:t>Damanhour University, Gomhoreya St, Damanhour, Egypt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310B4F" w:rsidRDefault="00310B4F" w:rsidP="00310B4F">
      <w:pPr>
        <w:shd w:val="clear" w:color="auto" w:fill="FFFFFF" w:themeFill="background1"/>
        <w:jc w:val="both"/>
      </w:pPr>
      <w:r w:rsidRPr="00251478">
        <w:rPr>
          <w:i/>
          <w:iCs/>
        </w:rPr>
        <w:t>Pseudomonas aeruginosa</w:t>
      </w:r>
      <w:r>
        <w:t xml:space="preserve"> is an important health care-associated opportunistic pathogen of </w:t>
      </w:r>
      <w:r w:rsidRPr="00957AFE">
        <w:t>crit</w:t>
      </w:r>
      <w:r>
        <w:t>ically ill patients. It is notorious for its multi-drug resistance</w:t>
      </w:r>
      <w:r w:rsidRPr="00251478">
        <w:t xml:space="preserve"> which </w:t>
      </w:r>
      <w:r>
        <w:t>renders</w:t>
      </w:r>
      <w:r w:rsidRPr="00251478">
        <w:t xml:space="preserve"> treatment difficult and </w:t>
      </w:r>
      <w:r>
        <w:t>sometimes unachievable</w:t>
      </w:r>
      <w:r w:rsidRPr="00251478">
        <w:t>.</w:t>
      </w:r>
      <w:r>
        <w:t xml:space="preserve"> The intrinsic resistance of</w:t>
      </w:r>
      <w:r w:rsidRPr="000951AC">
        <w:t xml:space="preserve"> </w:t>
      </w:r>
      <w:r w:rsidRPr="000951AC">
        <w:rPr>
          <w:i/>
          <w:iCs/>
        </w:rPr>
        <w:t xml:space="preserve">P. </w:t>
      </w:r>
      <w:r>
        <w:rPr>
          <w:i/>
          <w:iCs/>
        </w:rPr>
        <w:t xml:space="preserve">aeruginosa </w:t>
      </w:r>
      <w:r>
        <w:t>owes much to multidrug efflux pumps which belong to the RND superfamily.</w:t>
      </w:r>
    </w:p>
    <w:p w:rsidR="00310B4F" w:rsidRDefault="00310B4F" w:rsidP="00310B4F">
      <w:pPr>
        <w:shd w:val="clear" w:color="auto" w:fill="FFFFFF" w:themeFill="background1"/>
        <w:jc w:val="both"/>
      </w:pPr>
      <w:r>
        <w:t>The objective of the study was to</w:t>
      </w:r>
      <w:r w:rsidRPr="005C4DA7">
        <w:t xml:space="preserve"> investigate the antimicrobial resistance profiles and molecular resistance mechanisms of </w:t>
      </w:r>
      <w:r w:rsidRPr="005C4DA7">
        <w:rPr>
          <w:i/>
          <w:iCs/>
        </w:rPr>
        <w:t>Pseudomonas</w:t>
      </w:r>
      <w:r w:rsidRPr="005C4DA7">
        <w:t xml:space="preserve"> nosocomial isolates obt</w:t>
      </w:r>
      <w:r>
        <w:t>ained in Alexandria and Damanhour area, and</w:t>
      </w:r>
      <w:r w:rsidRPr="005C4DA7">
        <w:t xml:space="preserve"> to test the efficacy of antibiotic combination</w:t>
      </w:r>
      <w:r>
        <w:t>s</w:t>
      </w:r>
      <w:r w:rsidRPr="005C4DA7">
        <w:t xml:space="preserve"> against selected isolates.</w:t>
      </w:r>
    </w:p>
    <w:p w:rsidR="00310B4F" w:rsidRDefault="00310B4F" w:rsidP="006D60A8">
      <w:pPr>
        <w:shd w:val="clear" w:color="auto" w:fill="FFFFFF" w:themeFill="background1"/>
        <w:jc w:val="both"/>
      </w:pPr>
      <w:r>
        <w:t>Eighty three clinical isolates</w:t>
      </w:r>
      <w:r w:rsidRPr="000B79E6">
        <w:t xml:space="preserve"> were identifi</w:t>
      </w:r>
      <w:r>
        <w:t>ed, using standard microbiological techniques,</w:t>
      </w:r>
      <w:r w:rsidRPr="007D26C5">
        <w:t xml:space="preserve"> </w:t>
      </w:r>
      <w:r>
        <w:t>and</w:t>
      </w:r>
      <w:r w:rsidRPr="007D26C5">
        <w:t xml:space="preserve"> resistance pattern of </w:t>
      </w:r>
      <w:r>
        <w:t xml:space="preserve">17 </w:t>
      </w:r>
      <w:r w:rsidRPr="007D26C5">
        <w:t>antibiotic</w:t>
      </w:r>
      <w:r>
        <w:t>s</w:t>
      </w:r>
      <w:r w:rsidRPr="007D26C5">
        <w:t xml:space="preserve"> was evaluated using the standard disc agar diffusion technique.</w:t>
      </w:r>
      <w:r>
        <w:t xml:space="preserve"> Most </w:t>
      </w:r>
      <w:r w:rsidRPr="007D26C5">
        <w:t xml:space="preserve">of these isolates were </w:t>
      </w:r>
      <w:r>
        <w:t>highly</w:t>
      </w:r>
      <w:r w:rsidRPr="007D26C5">
        <w:t xml:space="preserve"> resistant to β-lactam antibiotics </w:t>
      </w:r>
      <w:r>
        <w:t xml:space="preserve">such </w:t>
      </w:r>
      <w:r w:rsidRPr="007D26C5">
        <w:t xml:space="preserve">as </w:t>
      </w:r>
      <w:r>
        <w:t>aztreonam</w:t>
      </w:r>
      <w:r w:rsidRPr="007D26C5">
        <w:t xml:space="preserve">, </w:t>
      </w:r>
      <w:r w:rsidRPr="00A94240">
        <w:t>piperacillin</w:t>
      </w:r>
      <w:r w:rsidRPr="007D26C5">
        <w:t>,</w:t>
      </w:r>
      <w:r w:rsidRPr="00A94240">
        <w:t xml:space="preserve"> piperacillin/tazobactam</w:t>
      </w:r>
      <w:r>
        <w:t>,</w:t>
      </w:r>
      <w:r w:rsidRPr="007D26C5">
        <w:t xml:space="preserve"> ceftazidime</w:t>
      </w:r>
      <w:r>
        <w:t xml:space="preserve"> and cefepime</w:t>
      </w:r>
      <w:r w:rsidRPr="007D26C5">
        <w:t xml:space="preserve">, as well as </w:t>
      </w:r>
      <w:r>
        <w:t>ofloxacin</w:t>
      </w:r>
      <w:r w:rsidRPr="007D26C5">
        <w:t xml:space="preserve"> and </w:t>
      </w:r>
      <w:r>
        <w:t>netilmicin</w:t>
      </w:r>
      <w:r w:rsidRPr="007D26C5">
        <w:t>.</w:t>
      </w:r>
      <w:r>
        <w:t xml:space="preserve"> P</w:t>
      </w:r>
      <w:r w:rsidRPr="00A94240">
        <w:t>olym</w:t>
      </w:r>
      <w:r>
        <w:t>y</w:t>
      </w:r>
      <w:r w:rsidRPr="00A94240">
        <w:t>xin B and colistin</w:t>
      </w:r>
      <w:r>
        <w:t xml:space="preserve"> </w:t>
      </w:r>
      <w:r w:rsidRPr="00A94240">
        <w:t>were</w:t>
      </w:r>
      <w:r>
        <w:t xml:space="preserve"> t</w:t>
      </w:r>
      <w:r w:rsidRPr="00A94240">
        <w:t>he most effective agents.</w:t>
      </w:r>
      <w:r w:rsidRPr="007D26C5">
        <w:t xml:space="preserve"> </w:t>
      </w:r>
      <w:r>
        <w:t>M</w:t>
      </w:r>
      <w:r w:rsidRPr="007D26C5">
        <w:t>ost of the tested isolates showed multidrug resistance</w:t>
      </w:r>
      <w:r>
        <w:t>,</w:t>
      </w:r>
      <w:r w:rsidRPr="007D26C5">
        <w:t xml:space="preserve"> </w:t>
      </w:r>
      <w:r>
        <w:t>revealing</w:t>
      </w:r>
      <w:r w:rsidRPr="007D26C5">
        <w:t xml:space="preserve"> </w:t>
      </w:r>
      <w:r>
        <w:t>17</w:t>
      </w:r>
      <w:r w:rsidRPr="007D26C5">
        <w:t xml:space="preserve"> different resistance patterns.</w:t>
      </w:r>
      <w:r>
        <w:t xml:space="preserve"> </w:t>
      </w:r>
    </w:p>
    <w:p w:rsidR="00310B4F" w:rsidRDefault="00310B4F" w:rsidP="006D60A8">
      <w:pPr>
        <w:shd w:val="clear" w:color="auto" w:fill="FFFFFF" w:themeFill="background1"/>
        <w:jc w:val="both"/>
      </w:pPr>
      <w:r>
        <w:t>The effect of</w:t>
      </w:r>
      <w:r w:rsidRPr="00FE659A">
        <w:t xml:space="preserve"> </w:t>
      </w:r>
      <w:r>
        <w:t>MexAB-OprM and MexXY-OprM efflux pumps overexpression was examined using the quantitative RT-PCR technique. Two- 786 folds increase</w:t>
      </w:r>
      <w:r w:rsidRPr="009B2AAB">
        <w:t xml:space="preserve"> in</w:t>
      </w:r>
      <w:r>
        <w:t xml:space="preserve"> the expression of the </w:t>
      </w:r>
      <w:r w:rsidRPr="00B4181F">
        <w:rPr>
          <w:i/>
          <w:iCs/>
        </w:rPr>
        <w:t>mexA</w:t>
      </w:r>
      <w:r>
        <w:t xml:space="preserve"> gene</w:t>
      </w:r>
      <w:r w:rsidRPr="009B2AAB">
        <w:t xml:space="preserve"> and </w:t>
      </w:r>
      <w:r>
        <w:t>2- 2385 folds increase</w:t>
      </w:r>
      <w:r w:rsidRPr="009B2AAB">
        <w:t xml:space="preserve"> in</w:t>
      </w:r>
      <w:r>
        <w:t xml:space="preserve"> the expression of the </w:t>
      </w:r>
      <w:r w:rsidRPr="00B4181F">
        <w:rPr>
          <w:i/>
          <w:iCs/>
        </w:rPr>
        <w:t>mexX</w:t>
      </w:r>
      <w:r>
        <w:t>gene were observed.</w:t>
      </w:r>
    </w:p>
    <w:p w:rsidR="00310B4F" w:rsidRDefault="00310B4F" w:rsidP="00310B4F">
      <w:pPr>
        <w:shd w:val="clear" w:color="auto" w:fill="FFFFFF" w:themeFill="background1"/>
        <w:jc w:val="both"/>
      </w:pPr>
      <w:r>
        <w:t>T</w:t>
      </w:r>
      <w:r w:rsidRPr="009B2AAB">
        <w:t xml:space="preserve">he effect of combining amikacin, imipenem, levofloxacin and cefepime </w:t>
      </w:r>
      <w:r>
        <w:t xml:space="preserve">with colistin was investigated </w:t>
      </w:r>
      <w:r w:rsidRPr="009B2AAB">
        <w:t xml:space="preserve">using </w:t>
      </w:r>
      <w:r>
        <w:t xml:space="preserve">the checkerboard technique. </w:t>
      </w:r>
    </w:p>
    <w:p w:rsidR="00310B4F" w:rsidRPr="009B2AAB" w:rsidRDefault="00310B4F" w:rsidP="00310B4F">
      <w:pPr>
        <w:shd w:val="clear" w:color="auto" w:fill="FFFFFF" w:themeFill="background1"/>
        <w:jc w:val="both"/>
      </w:pPr>
      <w:r w:rsidRPr="009B2AAB">
        <w:t>The comb</w:t>
      </w:r>
      <w:r>
        <w:t xml:space="preserve">ination of colistin with each of </w:t>
      </w:r>
      <w:r w:rsidRPr="009B2AAB">
        <w:t xml:space="preserve">imipenem, amikacin, or levofloxacin produced synergistic effect </w:t>
      </w:r>
      <w:r>
        <w:t>on</w:t>
      </w:r>
      <w:r w:rsidRPr="009B2AAB">
        <w:t xml:space="preserve"> most of the resistant isolates. Also indifference </w:t>
      </w:r>
      <w:r>
        <w:t>was shown</w:t>
      </w:r>
      <w:r w:rsidRPr="009B2AAB">
        <w:t xml:space="preserve"> in some of the isolates.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6D60A8" w:rsidP="006D60A8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 w:hAnsi="Arial"/>
          <w:color w:val="000000"/>
        </w:rPr>
        <w:t>Sarah Magdy Abdelhamid</w:t>
      </w:r>
      <w:r>
        <w:t xml:space="preserve"> </w:t>
      </w:r>
      <w:r w:rsidR="00AC3BCD">
        <w:t xml:space="preserve">has completed </w:t>
      </w:r>
      <w:r>
        <w:t>her</w:t>
      </w:r>
      <w:r w:rsidR="00AC3BCD">
        <w:t xml:space="preserve"> PhD from</w:t>
      </w:r>
      <w:r>
        <w:t>Alexandria</w:t>
      </w:r>
      <w:r w:rsidR="00AC3BCD">
        <w:t>University</w:t>
      </w:r>
      <w:r>
        <w:t>. Sh</w:t>
      </w:r>
      <w:r w:rsidR="00AC3BCD">
        <w:t xml:space="preserve">e is the </w:t>
      </w:r>
      <w:r>
        <w:t>head</w:t>
      </w:r>
      <w:r w:rsidR="00AC3BCD">
        <w:t xml:space="preserve"> of </w:t>
      </w:r>
      <w:r>
        <w:t>Microbiology Department in her Faculty</w:t>
      </w:r>
      <w:r w:rsidR="00AC3BCD">
        <w:t xml:space="preserve">. </w:t>
      </w:r>
      <w:r>
        <w:t>Sh</w:t>
      </w:r>
      <w:r w:rsidR="00AC3BCD">
        <w:t xml:space="preserve">e has published </w:t>
      </w:r>
      <w:r>
        <w:t>several  papers in reputed journals.</w:t>
      </w:r>
      <w:r w:rsidR="00DA2249">
        <w:tab/>
      </w:r>
      <w:r w:rsidR="00085B88">
        <w:br/>
      </w:r>
    </w:p>
    <w:p w:rsidR="00AC3BCD" w:rsidRDefault="00072E30" w:rsidP="006D60A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D60A8">
        <w:rPr>
          <w:rFonts w:eastAsia="MS PGothic" w:hAnsi="Arial"/>
          <w:color w:val="000000"/>
        </w:rPr>
        <w:t>Sarah Magdy Abdelhamid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 w:rsidR="006D60A8">
        <w:rPr>
          <w:lang w:val="en-NZ"/>
        </w:rPr>
        <w:t>00201227823929</w:t>
      </w:r>
      <w:proofErr w:type="gramEnd"/>
      <w:r w:rsidRPr="008A690F">
        <w:rPr>
          <w:lang w:val="en-NZ"/>
        </w:rPr>
        <w:br/>
      </w:r>
      <w:r w:rsidR="006D60A8">
        <w:rPr>
          <w:lang w:val="en-NZ"/>
        </w:rPr>
        <w:t xml:space="preserve">Category: </w:t>
      </w:r>
      <w:r w:rsidR="00AC3BCD"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C0A" w:rsidRDefault="00CE2C0A" w:rsidP="00671A59">
      <w:r>
        <w:separator/>
      </w:r>
    </w:p>
  </w:endnote>
  <w:endnote w:type="continuationSeparator" w:id="0">
    <w:p w:rsidR="00CE2C0A" w:rsidRDefault="00CE2C0A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C0A" w:rsidRDefault="00CE2C0A" w:rsidP="00671A59">
      <w:r>
        <w:separator/>
      </w:r>
    </w:p>
  </w:footnote>
  <w:footnote w:type="continuationSeparator" w:id="0">
    <w:p w:rsidR="00CE2C0A" w:rsidRDefault="00CE2C0A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proofState w:spelling="clean" w:grammar="clean"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10B4F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60A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E2C0A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BB800-B3E2-40F4-8D19-72D73ECE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2017-09-06T19:53:00Z</dcterms:created>
  <dcterms:modified xsi:type="dcterms:W3CDTF">2017-09-06T19:53:00Z</dcterms:modified>
</cp:coreProperties>
</file>