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073CB6" w:rsidRDefault="00073CB6" w:rsidP="00494130">
      <w:pPr>
        <w:pStyle w:val="Heading1"/>
        <w:spacing w:before="170"/>
        <w:ind w:left="0"/>
      </w:pPr>
      <w:r>
        <w:rPr>
          <w:color w:val="337AB7"/>
        </w:rPr>
        <w:t xml:space="preserve">The response of </w:t>
      </w:r>
      <w:r>
        <w:rPr>
          <w:i/>
          <w:color w:val="337AB7"/>
        </w:rPr>
        <w:t xml:space="preserve">Aspergillus trichodermus </w:t>
      </w:r>
      <w:r>
        <w:rPr>
          <w:color w:val="337AB7"/>
        </w:rPr>
        <w:t>sp. nov., a novel basidiome from the protistan-myxo-metal redoxifying clade: A phylogenomic</w:t>
      </w:r>
      <w:r w:rsidR="00F81107">
        <w:rPr>
          <w:color w:val="337AB7"/>
        </w:rPr>
        <w:t>s</w:t>
      </w:r>
      <w:r>
        <w:rPr>
          <w:color w:val="337AB7"/>
        </w:rPr>
        <w:t xml:space="preserve"> approach towards next generation </w:t>
      </w:r>
      <w:r w:rsidRPr="00D400CD">
        <w:rPr>
          <w:noProof/>
          <w:color w:val="337AB7"/>
        </w:rPr>
        <w:t>sanger</w:t>
      </w:r>
      <w:r>
        <w:rPr>
          <w:color w:val="337AB7"/>
        </w:rPr>
        <w:t xml:space="preserve"> sequencing</w:t>
      </w:r>
      <w:r w:rsidR="00F81107">
        <w:rPr>
          <w:color w:val="337AB7"/>
        </w:rPr>
        <w:t xml:space="preserve"> (NGSS)</w:t>
      </w:r>
    </w:p>
    <w:p w:rsidR="005973B9" w:rsidRDefault="00073CB6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 w:rsidRPr="00F81107">
        <w:rPr>
          <w:rFonts w:ascii="Arial"/>
          <w:b/>
          <w:u w:val="single"/>
        </w:rPr>
        <w:t xml:space="preserve">Linnaea </w:t>
      </w:r>
      <w:r w:rsidR="00F81107">
        <w:rPr>
          <w:rFonts w:ascii="Arial"/>
          <w:b/>
          <w:u w:val="single"/>
        </w:rPr>
        <w:t>L</w:t>
      </w:r>
      <w:r w:rsidRPr="00F81107">
        <w:rPr>
          <w:rFonts w:ascii="Arial"/>
          <w:b/>
          <w:u w:val="single"/>
        </w:rPr>
        <w:t>. Borealis</w:t>
      </w:r>
      <w:r w:rsidR="00F81107" w:rsidRPr="00F81107">
        <w:rPr>
          <w:rFonts w:ascii="Arial"/>
          <w:vertAlign w:val="superscript"/>
        </w:rPr>
        <w:t>1</w:t>
      </w:r>
      <w:r>
        <w:rPr>
          <w:rFonts w:ascii="Arial"/>
        </w:rPr>
        <w:t>, Kurt Cobain</w:t>
      </w:r>
      <w:r w:rsidR="00F81107" w:rsidRPr="00F81107">
        <w:rPr>
          <w:rFonts w:ascii="Arial"/>
          <w:vertAlign w:val="superscript"/>
        </w:rPr>
        <w:t>2</w:t>
      </w:r>
      <w:r>
        <w:rPr>
          <w:rFonts w:ascii="Arial"/>
        </w:rPr>
        <w:t xml:space="preserve">, Tarja Turunen, </w:t>
      </w:r>
    </w:p>
    <w:p w:rsidR="00073CB6" w:rsidRDefault="00F81107" w:rsidP="00F81107">
      <w:pPr>
        <w:pStyle w:val="BodyText"/>
        <w:spacing w:before="73" w:line="198" w:lineRule="exact"/>
        <w:ind w:left="100" w:right="5987"/>
        <w:rPr>
          <w:rFonts w:ascii="Arial"/>
        </w:rPr>
      </w:pPr>
      <w:r w:rsidRPr="001D1BC7">
        <w:rPr>
          <w:rFonts w:ascii="Arial"/>
          <w:vertAlign w:val="superscript"/>
        </w:rPr>
        <w:t>1</w:t>
      </w:r>
      <w:r w:rsidR="00073CB6">
        <w:rPr>
          <w:rFonts w:ascii="Arial"/>
        </w:rPr>
        <w:t xml:space="preserve">Department of Applied and Environmental Microbiology, </w:t>
      </w:r>
      <w:r>
        <w:rPr>
          <w:rFonts w:ascii="Arial"/>
        </w:rPr>
        <w:t xml:space="preserve">Institute of Mycology, </w:t>
      </w:r>
      <w:r w:rsidR="00073CB6">
        <w:rPr>
          <w:rFonts w:ascii="Arial"/>
        </w:rPr>
        <w:t>University of the Northwestern Philippines</w:t>
      </w:r>
    </w:p>
    <w:p w:rsidR="00F81107" w:rsidRDefault="00F81107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 w:rsidRPr="001D1BC7">
        <w:rPr>
          <w:rFonts w:ascii="Arial"/>
          <w:vertAlign w:val="superscript"/>
        </w:rPr>
        <w:t>2</w:t>
      </w:r>
      <w:r>
        <w:rPr>
          <w:rFonts w:ascii="Arial"/>
        </w:rPr>
        <w:t>Department of Metallurgical and Environmental Chemistry, Institute of Physical and Basic Chemistry, University of the Northwestern Philippines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Pr="002D7026" w:rsidRDefault="00F81107">
      <w:pPr>
        <w:pStyle w:val="BodyText"/>
        <w:spacing w:before="90" w:line="280" w:lineRule="auto"/>
        <w:ind w:left="100"/>
        <w:jc w:val="both"/>
      </w:pPr>
      <w:r>
        <w:t>This research paper presents the f</w:t>
      </w:r>
      <w:r w:rsidR="002D7026">
        <w:t>irst systematic description of an ascomycete</w:t>
      </w:r>
      <w:r>
        <w:t xml:space="preserve">, herewith referred to as the novel, </w:t>
      </w:r>
      <w:r w:rsidR="002D7026">
        <w:rPr>
          <w:i/>
        </w:rPr>
        <w:t xml:space="preserve">Aspergillus </w:t>
      </w:r>
      <w:r w:rsidR="002D7026" w:rsidRPr="00D400CD">
        <w:rPr>
          <w:i/>
          <w:noProof/>
        </w:rPr>
        <w:t>tricho</w:t>
      </w:r>
      <w:r w:rsidRPr="00D400CD">
        <w:rPr>
          <w:i/>
          <w:noProof/>
        </w:rPr>
        <w:t>dermus</w:t>
      </w:r>
      <w:r>
        <w:t xml:space="preserve"> species nova</w:t>
      </w:r>
      <w:r w:rsidR="002D7026">
        <w:t>, Eurotiaceae, Hypocreales, Ustilagomycotina</w:t>
      </w:r>
      <w:r>
        <w:t xml:space="preserve">. The species is phenotypically conspecific to </w:t>
      </w:r>
      <w:r w:rsidR="002D7026">
        <w:t xml:space="preserve">any </w:t>
      </w:r>
      <w:r>
        <w:t xml:space="preserve">known </w:t>
      </w:r>
      <w:r w:rsidR="002D7026">
        <w:rPr>
          <w:i/>
        </w:rPr>
        <w:t xml:space="preserve">Aspergillus </w:t>
      </w:r>
      <w:r w:rsidR="002D7026">
        <w:t xml:space="preserve">and is found to be the anamorph of </w:t>
      </w:r>
      <w:r w:rsidR="002D7026">
        <w:rPr>
          <w:i/>
        </w:rPr>
        <w:t>Trichoderma</w:t>
      </w:r>
      <w:r w:rsidR="002D7026">
        <w:t xml:space="preserve">, thus the species epithet, </w:t>
      </w:r>
      <w:r w:rsidR="002D7026" w:rsidRPr="00D400CD">
        <w:rPr>
          <w:i/>
          <w:noProof/>
        </w:rPr>
        <w:t>trichodermus</w:t>
      </w:r>
      <w:r w:rsidR="002D7026">
        <w:t xml:space="preserve">. The novel species was able to reduce and oxidize various heavy metals (e.g. chromium, nickel, molybdenum, lead, mercury, </w:t>
      </w:r>
      <w:r w:rsidR="002D7026" w:rsidRPr="00D400CD">
        <w:rPr>
          <w:noProof/>
        </w:rPr>
        <w:t>rhudibium</w:t>
      </w:r>
      <w:r w:rsidR="002D7026">
        <w:t>, palladium, iron, helium, me</w:t>
      </w:r>
      <w:r w:rsidR="002E5413">
        <w:t>rcury</w:t>
      </w:r>
      <w:r w:rsidR="002D7026">
        <w:t xml:space="preserve">, manganese, magnesium, carbon, lithium), salts (carbonate, sulfate, oxalate, </w:t>
      </w:r>
      <w:r w:rsidR="002D7026" w:rsidRPr="00D400CD">
        <w:rPr>
          <w:noProof/>
        </w:rPr>
        <w:t>mannates</w:t>
      </w:r>
      <w:r w:rsidR="002D7026">
        <w:t xml:space="preserve">), organic compounds (ethylene </w:t>
      </w:r>
      <w:r w:rsidR="002D7026" w:rsidRPr="00D400CD">
        <w:rPr>
          <w:noProof/>
        </w:rPr>
        <w:t>diaminetetraceatic</w:t>
      </w:r>
      <w:r w:rsidR="002D7026">
        <w:t xml:space="preserve"> acid, sulfur metalloporphyrins, toluene-complexed carbazide), and other recalcitrant compounds and persistent micro- fusible antibiotics (penicillin, amoxicillin, tetracycline, </w:t>
      </w:r>
      <w:r w:rsidR="002D7026" w:rsidRPr="00D400CD">
        <w:rPr>
          <w:noProof/>
        </w:rPr>
        <w:t>chloramphenicine</w:t>
      </w:r>
      <w:r w:rsidR="002D7026">
        <w:t xml:space="preserve">, and other amine medicines). The phylogeny was reconstituted among the protistan-myxo-metal </w:t>
      </w:r>
      <w:r w:rsidR="002D7026" w:rsidRPr="00D400CD">
        <w:rPr>
          <w:noProof/>
        </w:rPr>
        <w:t>redoxying</w:t>
      </w:r>
      <w:r w:rsidR="002D7026">
        <w:t xml:space="preserve"> clade as a new and novel clade of ascomycetes, </w:t>
      </w:r>
      <w:r w:rsidR="002D7026" w:rsidRPr="00D400CD">
        <w:rPr>
          <w:noProof/>
        </w:rPr>
        <w:t>basidiomycetes</w:t>
      </w:r>
      <w:r w:rsidR="00D400CD">
        <w:rPr>
          <w:noProof/>
        </w:rPr>
        <w:t>,</w:t>
      </w:r>
      <w:r w:rsidR="002D7026">
        <w:t xml:space="preserve"> and their close allies, i.e. </w:t>
      </w:r>
      <w:r w:rsidR="002D7026" w:rsidRPr="00D400CD">
        <w:rPr>
          <w:noProof/>
        </w:rPr>
        <w:t>myxomycota</w:t>
      </w:r>
      <w:r w:rsidR="002D7026">
        <w:t xml:space="preserve">, </w:t>
      </w:r>
      <w:r w:rsidR="002D7026" w:rsidRPr="00D400CD">
        <w:rPr>
          <w:noProof/>
        </w:rPr>
        <w:t>oomycot</w:t>
      </w:r>
      <w:r w:rsidR="002E5413" w:rsidRPr="00D400CD">
        <w:rPr>
          <w:noProof/>
        </w:rPr>
        <w:t>a</w:t>
      </w:r>
      <w:r w:rsidR="002D7026">
        <w:t xml:space="preserve"> and the large complex of obligately plant pathogenic </w:t>
      </w:r>
      <w:r w:rsidR="002D7026" w:rsidRPr="00D400CD">
        <w:rPr>
          <w:noProof/>
        </w:rPr>
        <w:t>labyrinthulomycota</w:t>
      </w:r>
      <w:r w:rsidR="002D7026">
        <w:t xml:space="preserve">. Obtained data were generated using the next generation </w:t>
      </w:r>
      <w:r w:rsidR="00D400CD">
        <w:rPr>
          <w:noProof/>
        </w:rPr>
        <w:t>S</w:t>
      </w:r>
      <w:r w:rsidR="002D7026" w:rsidRPr="00D400CD">
        <w:rPr>
          <w:noProof/>
        </w:rPr>
        <w:t>anger</w:t>
      </w:r>
      <w:r w:rsidR="002D7026">
        <w:t xml:space="preserve"> sequencing of </w:t>
      </w:r>
      <w:r w:rsidR="002D7026" w:rsidRPr="00D400CD">
        <w:rPr>
          <w:noProof/>
        </w:rPr>
        <w:t>meta</w:t>
      </w:r>
      <w:r w:rsidR="00D400CD">
        <w:rPr>
          <w:noProof/>
        </w:rPr>
        <w:t xml:space="preserve"> </w:t>
      </w:r>
      <w:r w:rsidR="002D7026" w:rsidRPr="00D400CD">
        <w:rPr>
          <w:noProof/>
        </w:rPr>
        <w:t>barcodes</w:t>
      </w:r>
      <w:r w:rsidR="002D7026">
        <w:t xml:space="preserve"> and </w:t>
      </w:r>
      <w:r w:rsidR="002D7026" w:rsidRPr="00D400CD">
        <w:rPr>
          <w:noProof/>
        </w:rPr>
        <w:t>eDNA</w:t>
      </w:r>
      <w:r w:rsidR="002D7026">
        <w:t xml:space="preserve"> using </w:t>
      </w:r>
      <w:r w:rsidR="00D400CD">
        <w:rPr>
          <w:noProof/>
        </w:rPr>
        <w:t>P</w:t>
      </w:r>
      <w:r w:rsidR="002D7026" w:rsidRPr="00D400CD">
        <w:rPr>
          <w:noProof/>
        </w:rPr>
        <w:t>erl</w:t>
      </w:r>
      <w:r w:rsidR="002D7026">
        <w:t xml:space="preserve"> pipe lines, R script-based next generation phylogenetics and sequence capture based hybridization of RNA-DNA complex. This paper will establish a revolutionary approach on phylogeny and will propose changes o</w:t>
      </w:r>
      <w:r w:rsidR="00D400CD">
        <w:t>n the systematics of eukaryotes, and prokaryotes</w:t>
      </w:r>
      <w:r w:rsidR="002D7026">
        <w:t xml:space="preserve">. </w:t>
      </w:r>
    </w:p>
    <w:p w:rsidR="00AE3E37" w:rsidRDefault="00A9710C" w:rsidP="009022A6">
      <w:pPr>
        <w:pStyle w:val="Heading3"/>
        <w:spacing w:before="74"/>
        <w:rPr>
          <w:b w:val="0"/>
          <w:sz w:val="16"/>
        </w:rPr>
      </w:pPr>
      <w:r>
        <w:rPr>
          <w:b w:val="0"/>
        </w:rPr>
        <w:br w:type="column"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D400CD" w:rsidRDefault="00D400CD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Behjati S, Tarpey PS (2013) What is next generation sequencing. Arch Dis Child Educ Pract Ed 98:236-238.</w:t>
      </w:r>
    </w:p>
    <w:p w:rsidR="005973B9" w:rsidRDefault="00D400CD" w:rsidP="00D400CD">
      <w:pPr>
        <w:pStyle w:val="ListParagraph"/>
        <w:numPr>
          <w:ilvl w:val="0"/>
          <w:numId w:val="3"/>
        </w:numPr>
        <w:rPr>
          <w:sz w:val="18"/>
        </w:rPr>
      </w:pPr>
      <w:r w:rsidRPr="00D400CD">
        <w:rPr>
          <w:sz w:val="18"/>
        </w:rPr>
        <w:t>Stadler T, Rogers LM (2017) Emerging patterns of plasmid-host coevolution that stabilize antibiotic resistance. Sci Rep doi:10.1038/s41598-017-04662-0</w:t>
      </w:r>
    </w:p>
    <w:p w:rsidR="00D400CD" w:rsidRPr="00D400CD" w:rsidRDefault="00D400CD" w:rsidP="00D400CD">
      <w:pPr>
        <w:pStyle w:val="ListParagraph"/>
        <w:numPr>
          <w:ilvl w:val="0"/>
          <w:numId w:val="3"/>
        </w:numPr>
        <w:rPr>
          <w:sz w:val="18"/>
        </w:rPr>
      </w:pPr>
      <w:r w:rsidRPr="00D400CD">
        <w:rPr>
          <w:sz w:val="18"/>
        </w:rPr>
        <w:t xml:space="preserve">Zadesenet KR, Schärer L, Rubtsov NB (2017) New insights of the karyotype coevolution of the free living flatworm Macrostomum </w:t>
      </w:r>
      <w:r w:rsidRPr="00D400CD">
        <w:rPr>
          <w:noProof/>
          <w:sz w:val="18"/>
        </w:rPr>
        <w:t>lignano</w:t>
      </w:r>
      <w:r w:rsidRPr="00D400CD">
        <w:rPr>
          <w:sz w:val="18"/>
        </w:rPr>
        <w:t xml:space="preserve"> (</w:t>
      </w:r>
      <w:r w:rsidRPr="00D400CD">
        <w:rPr>
          <w:noProof/>
          <w:sz w:val="18"/>
        </w:rPr>
        <w:t>Platyheminthes</w:t>
      </w:r>
      <w:r w:rsidRPr="00D400CD">
        <w:rPr>
          <w:sz w:val="18"/>
        </w:rPr>
        <w:t>, Myxogastria). Sci Rep doi:10.1038/s41598-017-06498-0</w:t>
      </w:r>
    </w:p>
    <w:p w:rsidR="00D400CD" w:rsidRPr="00D400CD" w:rsidRDefault="00D400CD" w:rsidP="00D400CD">
      <w:pPr>
        <w:pStyle w:val="ListParagraph"/>
        <w:numPr>
          <w:ilvl w:val="0"/>
          <w:numId w:val="3"/>
        </w:numPr>
        <w:rPr>
          <w:sz w:val="18"/>
        </w:rPr>
      </w:pPr>
      <w:r w:rsidRPr="00D400CD">
        <w:rPr>
          <w:sz w:val="18"/>
        </w:rPr>
        <w:t xml:space="preserve">Marshall JM, Buchmann A, Sanchez HM, Akbari OS (2017) Overcoming evolved resistance </w:t>
      </w:r>
      <w:r>
        <w:rPr>
          <w:noProof/>
          <w:sz w:val="18"/>
        </w:rPr>
        <w:t>to</w:t>
      </w:r>
      <w:r w:rsidRPr="00D400CD">
        <w:rPr>
          <w:sz w:val="18"/>
        </w:rPr>
        <w:t xml:space="preserve"> medicines and antibiotics. Nature doi:10.1038/s41598-017-02744-7</w:t>
      </w:r>
    </w:p>
    <w:p w:rsidR="00D400CD" w:rsidRPr="00D400CD" w:rsidRDefault="00D400CD" w:rsidP="00D400CD">
      <w:pPr>
        <w:pStyle w:val="ListParagraph"/>
        <w:numPr>
          <w:ilvl w:val="0"/>
          <w:numId w:val="3"/>
        </w:numPr>
        <w:rPr>
          <w:sz w:val="18"/>
        </w:rPr>
      </w:pPr>
      <w:r w:rsidRPr="00D400CD">
        <w:rPr>
          <w:sz w:val="18"/>
        </w:rPr>
        <w:t xml:space="preserve">Li, X, Liu HL, Feng D, Kalish LM, Ho S, Shao W (2013) Tracing the patterns of coevolution among </w:t>
      </w:r>
      <w:r w:rsidRPr="00D400CD">
        <w:rPr>
          <w:noProof/>
          <w:sz w:val="18"/>
        </w:rPr>
        <w:t>Eurkaryotes</w:t>
      </w:r>
      <w:r w:rsidRPr="00D400CD">
        <w:rPr>
          <w:sz w:val="18"/>
        </w:rPr>
        <w:t xml:space="preserve">. </w:t>
      </w:r>
      <w:r>
        <w:rPr>
          <w:sz w:val="18"/>
        </w:rPr>
        <w:t>Nature. 32:3331-3340</w:t>
      </w:r>
    </w:p>
    <w:p w:rsidR="00AE3E37" w:rsidRPr="00D400CD" w:rsidRDefault="00AE3E37" w:rsidP="008756E6">
      <w:pPr>
        <w:tabs>
          <w:tab w:val="left" w:pos="384"/>
        </w:tabs>
        <w:ind w:right="117"/>
      </w:pPr>
    </w:p>
    <w:p w:rsidR="00AE3E37" w:rsidRPr="00D400CD" w:rsidRDefault="008756E6">
      <w:pPr>
        <w:spacing w:line="200" w:lineRule="exact"/>
        <w:jc w:val="both"/>
        <w:rPr>
          <w:rFonts w:ascii="Calibri" w:hAnsi="Calibri"/>
        </w:rPr>
        <w:sectPr w:rsidR="00AE3E37" w:rsidRPr="00D400C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D400CD">
        <w:rPr>
          <w:rFonts w:ascii="Calibri" w:hAnsi="Calibri"/>
        </w:rPr>
        <w:t xml:space="preserve">   </w:t>
      </w:r>
    </w:p>
    <w:p w:rsidR="00AE3E37" w:rsidRPr="00D400CD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de-DE" w:eastAsia="de-DE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D400CD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>
        <w:rPr>
          <w:rFonts w:ascii="Arial"/>
          <w:color w:val="BF5A14"/>
        </w:rPr>
        <w:t>Linnaea L. Borealis</w:t>
      </w:r>
    </w:p>
    <w:p w:rsidR="00AE3E37" w:rsidRDefault="00D400C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Linnaea L. Borealis is a graduate of </w:t>
      </w:r>
      <w:r w:rsidRPr="00D400CD">
        <w:rPr>
          <w:rFonts w:ascii="Arial"/>
          <w:noProof/>
          <w:sz w:val="14"/>
        </w:rPr>
        <w:t>Ph</w:t>
      </w:r>
      <w:r>
        <w:rPr>
          <w:rFonts w:ascii="Arial"/>
          <w:noProof/>
          <w:sz w:val="14"/>
        </w:rPr>
        <w:t>.D.</w:t>
      </w:r>
      <w:r>
        <w:rPr>
          <w:rFonts w:ascii="Arial"/>
          <w:sz w:val="14"/>
        </w:rPr>
        <w:t xml:space="preserve"> in Applied Environmental Chemistry from the University of the Northwestern Philippines, another </w:t>
      </w:r>
      <w:r w:rsidRPr="00D400CD">
        <w:rPr>
          <w:rFonts w:ascii="Arial"/>
          <w:noProof/>
          <w:sz w:val="14"/>
        </w:rPr>
        <w:t>Ph</w:t>
      </w:r>
      <w:r>
        <w:rPr>
          <w:rFonts w:ascii="Arial"/>
          <w:noProof/>
          <w:sz w:val="14"/>
        </w:rPr>
        <w:t>.D.</w:t>
      </w:r>
      <w:r>
        <w:rPr>
          <w:rFonts w:ascii="Arial"/>
          <w:sz w:val="14"/>
        </w:rPr>
        <w:t xml:space="preserve"> degree was similarly conferred to Linnaea, and that is the </w:t>
      </w:r>
      <w:r w:rsidRPr="00D400CD">
        <w:rPr>
          <w:rFonts w:ascii="Arial"/>
          <w:noProof/>
          <w:sz w:val="14"/>
        </w:rPr>
        <w:t>Ph</w:t>
      </w:r>
      <w:r>
        <w:rPr>
          <w:rFonts w:ascii="Arial"/>
          <w:noProof/>
          <w:sz w:val="14"/>
        </w:rPr>
        <w:t>.D.</w:t>
      </w:r>
      <w:r>
        <w:rPr>
          <w:rFonts w:ascii="Arial"/>
          <w:sz w:val="14"/>
        </w:rPr>
        <w:t xml:space="preserve"> in Bioinformatics with specialization </w:t>
      </w:r>
      <w:r>
        <w:rPr>
          <w:rFonts w:ascii="Arial"/>
          <w:noProof/>
          <w:sz w:val="14"/>
        </w:rPr>
        <w:t>i</w:t>
      </w:r>
      <w:r w:rsidRPr="00D400CD">
        <w:rPr>
          <w:rFonts w:ascii="Arial"/>
          <w:noProof/>
          <w:sz w:val="14"/>
        </w:rPr>
        <w:t>n</w:t>
      </w:r>
      <w:r>
        <w:rPr>
          <w:rFonts w:ascii="Arial"/>
          <w:sz w:val="14"/>
        </w:rPr>
        <w:t xml:space="preserve"> Evolutionary Biology. Linnaea teacher applied chemistry, basic biology, culture and sports, and introductory bioinformatics to pedagogy, biology, nursing and philosophy students.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D400CD">
        <w:rPr>
          <w:rFonts w:ascii="Arial"/>
          <w:sz w:val="14"/>
        </w:rPr>
        <w:t>linnaealborealis@gmail.com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9022A6" w:rsidRDefault="009022A6">
      <w:pPr>
        <w:pStyle w:val="BodyText"/>
        <w:rPr>
          <w:rFonts w:ascii="Arial"/>
          <w:sz w:val="20"/>
        </w:rPr>
      </w:pPr>
    </w:p>
    <w:p w:rsidR="009022A6" w:rsidRDefault="009022A6">
      <w:pPr>
        <w:pStyle w:val="BodyText"/>
        <w:rPr>
          <w:rFonts w:ascii="Arial"/>
          <w:sz w:val="20"/>
        </w:rPr>
      </w:pPr>
    </w:p>
    <w:p w:rsidR="009022A6" w:rsidRDefault="009022A6">
      <w:pPr>
        <w:pStyle w:val="BodyText"/>
        <w:rPr>
          <w:rFonts w:ascii="Arial"/>
          <w:sz w:val="20"/>
        </w:rPr>
      </w:pPr>
    </w:p>
    <w:p w:rsidR="009022A6" w:rsidRDefault="009022A6">
      <w:pPr>
        <w:pStyle w:val="BodyText"/>
        <w:rPr>
          <w:rFonts w:ascii="Arial"/>
          <w:sz w:val="20"/>
        </w:rPr>
      </w:pPr>
    </w:p>
    <w:p w:rsidR="009022A6" w:rsidRDefault="009022A6">
      <w:pPr>
        <w:pStyle w:val="BodyText"/>
        <w:rPr>
          <w:rFonts w:ascii="Arial"/>
          <w:sz w:val="20"/>
        </w:rPr>
      </w:pPr>
    </w:p>
    <w:p w:rsidR="009022A6" w:rsidRDefault="009022A6">
      <w:pPr>
        <w:pStyle w:val="BodyText"/>
        <w:rPr>
          <w:rFonts w:ascii="Arial"/>
          <w:sz w:val="20"/>
        </w:rPr>
      </w:pPr>
    </w:p>
    <w:p w:rsidR="009022A6" w:rsidRDefault="009022A6">
      <w:pPr>
        <w:pStyle w:val="BodyText"/>
        <w:rPr>
          <w:rFonts w:ascii="Arial"/>
          <w:sz w:val="20"/>
        </w:rPr>
      </w:pPr>
    </w:p>
    <w:p w:rsidR="009022A6" w:rsidRDefault="009022A6">
      <w:pPr>
        <w:pStyle w:val="BodyText"/>
        <w:rPr>
          <w:rFonts w:ascii="Arial"/>
          <w:sz w:val="20"/>
        </w:rPr>
      </w:pPr>
    </w:p>
    <w:p w:rsidR="009022A6" w:rsidRDefault="009022A6">
      <w:pPr>
        <w:pStyle w:val="BodyText"/>
        <w:rPr>
          <w:rFonts w:ascii="Arial"/>
          <w:sz w:val="20"/>
        </w:rPr>
      </w:pPr>
    </w:p>
    <w:p w:rsidR="009022A6" w:rsidRDefault="009022A6">
      <w:pPr>
        <w:pStyle w:val="BodyText"/>
        <w:rPr>
          <w:rFonts w:ascii="Arial"/>
          <w:sz w:val="20"/>
        </w:rPr>
      </w:pPr>
    </w:p>
    <w:p w:rsidR="009E7CAA" w:rsidRDefault="009E7CAA">
      <w:pPr>
        <w:pStyle w:val="BodyText"/>
        <w:rPr>
          <w:rFonts w:ascii="Arial"/>
          <w:sz w:val="20"/>
        </w:rPr>
      </w:pPr>
    </w:p>
    <w:p w:rsidR="009022A6" w:rsidRDefault="009022A6">
      <w:pPr>
        <w:pStyle w:val="BodyText"/>
        <w:rPr>
          <w:rFonts w:ascii="Arial"/>
          <w:sz w:val="20"/>
        </w:rPr>
      </w:pPr>
    </w:p>
    <w:p w:rsidR="009022A6" w:rsidRDefault="009022A6">
      <w:pPr>
        <w:pStyle w:val="BodyText"/>
        <w:rPr>
          <w:rFonts w:ascii="Arial"/>
          <w:sz w:val="20"/>
        </w:rPr>
      </w:pPr>
    </w:p>
    <w:p w:rsidR="009E7CAA" w:rsidRDefault="009E7CAA" w:rsidP="009E7CAA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Figures </w:t>
      </w:r>
      <w:bookmarkStart w:id="0" w:name="_GoBack"/>
      <w:bookmarkEnd w:id="0"/>
    </w:p>
    <w:p w:rsidR="009022A6" w:rsidRDefault="009022A6">
      <w:pPr>
        <w:pStyle w:val="BodyText"/>
        <w:rPr>
          <w:rFonts w:ascii="Arial"/>
          <w:sz w:val="20"/>
        </w:rPr>
      </w:pPr>
      <w:r>
        <w:rPr>
          <w:rFonts w:ascii="Arial"/>
          <w:noProof/>
          <w:sz w:val="20"/>
          <w:lang w:val="de-DE" w:eastAsia="de-DE"/>
        </w:rPr>
        <w:drawing>
          <wp:inline distT="0" distB="0" distL="0" distR="0">
            <wp:extent cx="6772275" cy="32766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A81" w:rsidRDefault="00105A81">
      <w:r>
        <w:separator/>
      </w:r>
    </w:p>
  </w:endnote>
  <w:endnote w:type="continuationSeparator" w:id="0">
    <w:p w:rsidR="00105A81" w:rsidRDefault="00105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Pr="00182F2D" w:rsidRDefault="00292ED9">
    <w:pPr>
      <w:pStyle w:val="BodyText"/>
      <w:spacing w:line="14" w:lineRule="auto"/>
      <w:rPr>
        <w:color w:val="FF0000"/>
        <w:sz w:val="20"/>
      </w:rPr>
    </w:pPr>
    <w:r w:rsidRPr="00182F2D">
      <w:rPr>
        <w:noProof/>
        <w:color w:val="FF0000"/>
        <w:lang w:val="de-DE" w:eastAsia="de-DE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E02358B" wp14:editId="25CCD55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A81" w:rsidRDefault="00105A81">
      <w:r>
        <w:separator/>
      </w:r>
    </w:p>
  </w:footnote>
  <w:footnote w:type="continuationSeparator" w:id="0">
    <w:p w:rsidR="00105A81" w:rsidRDefault="00105A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UwtDC3tDCxMDAxNzJS0lEKTi0uzszPAykwqgUAHd1Q8ywAAAA="/>
  </w:docVars>
  <w:rsids>
    <w:rsidRoot w:val="00AE3E37"/>
    <w:rsid w:val="00073CB6"/>
    <w:rsid w:val="000E2911"/>
    <w:rsid w:val="00105A81"/>
    <w:rsid w:val="001263DF"/>
    <w:rsid w:val="00182F2D"/>
    <w:rsid w:val="001D1BC7"/>
    <w:rsid w:val="00292ED9"/>
    <w:rsid w:val="002D7026"/>
    <w:rsid w:val="002E5413"/>
    <w:rsid w:val="00404E5B"/>
    <w:rsid w:val="00414F7B"/>
    <w:rsid w:val="004355DC"/>
    <w:rsid w:val="004749B4"/>
    <w:rsid w:val="00494130"/>
    <w:rsid w:val="004F3523"/>
    <w:rsid w:val="005973B9"/>
    <w:rsid w:val="005B33DB"/>
    <w:rsid w:val="005B3A56"/>
    <w:rsid w:val="006060CE"/>
    <w:rsid w:val="0063497F"/>
    <w:rsid w:val="006C29F6"/>
    <w:rsid w:val="00873DF0"/>
    <w:rsid w:val="008756E6"/>
    <w:rsid w:val="009022A6"/>
    <w:rsid w:val="009B2D44"/>
    <w:rsid w:val="009E7CAA"/>
    <w:rsid w:val="00A07E82"/>
    <w:rsid w:val="00A82E39"/>
    <w:rsid w:val="00A9710C"/>
    <w:rsid w:val="00AE3E37"/>
    <w:rsid w:val="00B21A57"/>
    <w:rsid w:val="00C33602"/>
    <w:rsid w:val="00CD6F55"/>
    <w:rsid w:val="00D400CD"/>
    <w:rsid w:val="00DE3104"/>
    <w:rsid w:val="00F72EEA"/>
    <w:rsid w:val="00F81107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Reuel Bennett</cp:lastModifiedBy>
  <cp:revision>8</cp:revision>
  <dcterms:created xsi:type="dcterms:W3CDTF">2016-12-21T08:58:00Z</dcterms:created>
  <dcterms:modified xsi:type="dcterms:W3CDTF">2017-07-20T10:51:00Z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