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30E" w:rsidRPr="00BA275D" w:rsidRDefault="0075130E" w:rsidP="0075130E">
      <w:pPr>
        <w:autoSpaceDE w:val="0"/>
        <w:autoSpaceDN w:val="0"/>
        <w:adjustRightInd w:val="0"/>
        <w:spacing w:after="0" w:line="240" w:lineRule="auto"/>
        <w:rPr>
          <w:rFonts w:asciiTheme="minorBidi" w:hAnsiTheme="minorBidi"/>
          <w:sz w:val="24"/>
          <w:szCs w:val="24"/>
        </w:rPr>
      </w:pPr>
      <w:bookmarkStart w:id="0" w:name="_GoBack"/>
      <w:bookmarkEnd w:id="0"/>
      <w:r w:rsidRPr="00BA275D">
        <w:rPr>
          <w:rFonts w:asciiTheme="minorBidi" w:hAnsiTheme="minorBidi"/>
          <w:sz w:val="24"/>
          <w:szCs w:val="24"/>
        </w:rPr>
        <w:t>A Single Case Cognitive and Behavioral Assessment, Formulation and Treatment using Clark and Wells (1995) Model of CBT for Social Anxiety Disorder for Paruresis.</w:t>
      </w:r>
    </w:p>
    <w:p w:rsidR="0075130E" w:rsidRPr="00BA275D" w:rsidRDefault="0075130E" w:rsidP="0075130E">
      <w:pPr>
        <w:autoSpaceDE w:val="0"/>
        <w:autoSpaceDN w:val="0"/>
        <w:adjustRightInd w:val="0"/>
        <w:spacing w:after="0" w:line="240" w:lineRule="auto"/>
        <w:rPr>
          <w:rFonts w:asciiTheme="minorBidi" w:hAnsiTheme="minorBidi"/>
          <w:sz w:val="24"/>
          <w:szCs w:val="24"/>
        </w:rPr>
      </w:pPr>
    </w:p>
    <w:p w:rsidR="0075130E" w:rsidRPr="00BA275D" w:rsidRDefault="0075130E" w:rsidP="0075130E">
      <w:pPr>
        <w:autoSpaceDE w:val="0"/>
        <w:autoSpaceDN w:val="0"/>
        <w:adjustRightInd w:val="0"/>
        <w:spacing w:after="0" w:line="240" w:lineRule="auto"/>
        <w:rPr>
          <w:rFonts w:asciiTheme="minorBidi" w:hAnsiTheme="minorBidi"/>
          <w:sz w:val="24"/>
          <w:szCs w:val="24"/>
        </w:rPr>
      </w:pPr>
      <w:r w:rsidRPr="00BA275D">
        <w:rPr>
          <w:rFonts w:asciiTheme="minorBidi" w:hAnsiTheme="minorBidi"/>
          <w:sz w:val="24"/>
          <w:szCs w:val="24"/>
        </w:rPr>
        <w:t>John Roberts Higher Colleges of Technology, Abu Dhabi, UAE</w:t>
      </w:r>
    </w:p>
    <w:p w:rsidR="0075130E" w:rsidRPr="00BA275D" w:rsidRDefault="0075130E" w:rsidP="0075130E">
      <w:pPr>
        <w:autoSpaceDE w:val="0"/>
        <w:autoSpaceDN w:val="0"/>
        <w:adjustRightInd w:val="0"/>
        <w:spacing w:after="0" w:line="240" w:lineRule="auto"/>
        <w:rPr>
          <w:rFonts w:asciiTheme="minorBidi" w:hAnsiTheme="minorBidi"/>
          <w:sz w:val="24"/>
          <w:szCs w:val="24"/>
        </w:rPr>
      </w:pPr>
      <w:r w:rsidRPr="00BA275D">
        <w:rPr>
          <w:rFonts w:asciiTheme="minorBidi" w:hAnsiTheme="minorBidi"/>
          <w:sz w:val="24"/>
          <w:szCs w:val="24"/>
        </w:rPr>
        <w:t>Anamika Misra Higher Colleges of Technology, Abu Dhabi, UAE</w:t>
      </w:r>
    </w:p>
    <w:p w:rsidR="0075130E" w:rsidRPr="00BA275D" w:rsidRDefault="0075130E" w:rsidP="0075130E">
      <w:pPr>
        <w:autoSpaceDE w:val="0"/>
        <w:autoSpaceDN w:val="0"/>
        <w:adjustRightInd w:val="0"/>
        <w:spacing w:after="0" w:line="240" w:lineRule="auto"/>
        <w:rPr>
          <w:rFonts w:asciiTheme="minorBidi" w:hAnsiTheme="minorBidi"/>
          <w:sz w:val="24"/>
          <w:szCs w:val="24"/>
        </w:rPr>
      </w:pPr>
    </w:p>
    <w:p w:rsidR="0075130E" w:rsidRPr="00BA275D" w:rsidRDefault="0075130E" w:rsidP="0075130E">
      <w:pPr>
        <w:autoSpaceDE w:val="0"/>
        <w:autoSpaceDN w:val="0"/>
        <w:adjustRightInd w:val="0"/>
        <w:spacing w:after="0" w:line="240" w:lineRule="auto"/>
        <w:rPr>
          <w:rFonts w:asciiTheme="minorBidi" w:hAnsiTheme="minorBidi"/>
          <w:sz w:val="24"/>
          <w:szCs w:val="24"/>
        </w:rPr>
      </w:pPr>
    </w:p>
    <w:p w:rsidR="0075130E" w:rsidRPr="00BA275D" w:rsidRDefault="0075130E" w:rsidP="00690577">
      <w:pPr>
        <w:autoSpaceDE w:val="0"/>
        <w:autoSpaceDN w:val="0"/>
        <w:adjustRightInd w:val="0"/>
        <w:spacing w:after="0" w:line="240" w:lineRule="auto"/>
        <w:rPr>
          <w:rFonts w:asciiTheme="minorBidi" w:hAnsiTheme="minorBidi"/>
          <w:sz w:val="24"/>
          <w:szCs w:val="24"/>
        </w:rPr>
      </w:pPr>
      <w:proofErr w:type="spellStart"/>
      <w:r w:rsidRPr="00BA275D">
        <w:rPr>
          <w:rFonts w:asciiTheme="minorBidi" w:hAnsiTheme="minorBidi"/>
          <w:sz w:val="24"/>
          <w:szCs w:val="24"/>
        </w:rPr>
        <w:t>Paruresis</w:t>
      </w:r>
      <w:proofErr w:type="spellEnd"/>
      <w:r w:rsidRPr="00BA275D">
        <w:rPr>
          <w:rFonts w:asciiTheme="minorBidi" w:hAnsiTheme="minorBidi"/>
          <w:sz w:val="24"/>
          <w:szCs w:val="24"/>
        </w:rPr>
        <w:t xml:space="preserve"> is a </w:t>
      </w:r>
      <w:r w:rsidR="00690577" w:rsidRPr="00BA275D">
        <w:rPr>
          <w:rFonts w:asciiTheme="minorBidi" w:hAnsiTheme="minorBidi"/>
          <w:sz w:val="24"/>
          <w:szCs w:val="24"/>
        </w:rPr>
        <w:t xml:space="preserve">clinical </w:t>
      </w:r>
      <w:r w:rsidRPr="00BA275D">
        <w:rPr>
          <w:rFonts w:asciiTheme="minorBidi" w:hAnsiTheme="minorBidi"/>
          <w:sz w:val="24"/>
          <w:szCs w:val="24"/>
        </w:rPr>
        <w:t>difficult</w:t>
      </w:r>
      <w:r w:rsidR="00690577" w:rsidRPr="00BA275D">
        <w:rPr>
          <w:rFonts w:asciiTheme="minorBidi" w:hAnsiTheme="minorBidi"/>
          <w:sz w:val="24"/>
          <w:szCs w:val="24"/>
        </w:rPr>
        <w:t>ly typified by</w:t>
      </w:r>
      <w:r w:rsidRPr="00BA275D">
        <w:rPr>
          <w:rFonts w:asciiTheme="minorBidi" w:hAnsiTheme="minorBidi"/>
          <w:sz w:val="24"/>
          <w:szCs w:val="24"/>
        </w:rPr>
        <w:t xml:space="preserve"> an inability to urinate in </w:t>
      </w:r>
      <w:r w:rsidR="00690577" w:rsidRPr="00BA275D">
        <w:rPr>
          <w:rFonts w:asciiTheme="minorBidi" w:hAnsiTheme="minorBidi"/>
          <w:sz w:val="24"/>
          <w:szCs w:val="24"/>
        </w:rPr>
        <w:t>situations where others are present</w:t>
      </w:r>
      <w:r w:rsidRPr="00BA275D">
        <w:rPr>
          <w:rFonts w:asciiTheme="minorBidi" w:hAnsiTheme="minorBidi"/>
          <w:sz w:val="24"/>
          <w:szCs w:val="24"/>
        </w:rPr>
        <w:t xml:space="preserve"> or may soon be present. P</w:t>
      </w:r>
      <w:r w:rsidR="00690577" w:rsidRPr="00BA275D">
        <w:rPr>
          <w:rFonts w:asciiTheme="minorBidi" w:hAnsiTheme="minorBidi"/>
          <w:sz w:val="24"/>
          <w:szCs w:val="24"/>
        </w:rPr>
        <w:t xml:space="preserve">atients </w:t>
      </w:r>
      <w:r w:rsidRPr="00BA275D">
        <w:rPr>
          <w:rFonts w:asciiTheme="minorBidi" w:hAnsiTheme="minorBidi"/>
          <w:sz w:val="24"/>
          <w:szCs w:val="24"/>
        </w:rPr>
        <w:t xml:space="preserve">with </w:t>
      </w:r>
      <w:proofErr w:type="spellStart"/>
      <w:r w:rsidRPr="00BA275D">
        <w:rPr>
          <w:rFonts w:asciiTheme="minorBidi" w:hAnsiTheme="minorBidi"/>
          <w:sz w:val="24"/>
          <w:szCs w:val="24"/>
        </w:rPr>
        <w:t>Paruresis</w:t>
      </w:r>
      <w:proofErr w:type="spellEnd"/>
      <w:r w:rsidRPr="00BA275D">
        <w:rPr>
          <w:rFonts w:asciiTheme="minorBidi" w:hAnsiTheme="minorBidi"/>
          <w:sz w:val="24"/>
          <w:szCs w:val="24"/>
        </w:rPr>
        <w:t xml:space="preserve"> </w:t>
      </w:r>
      <w:r w:rsidR="00690577" w:rsidRPr="00BA275D">
        <w:rPr>
          <w:rFonts w:asciiTheme="minorBidi" w:hAnsiTheme="minorBidi"/>
          <w:sz w:val="24"/>
          <w:szCs w:val="24"/>
        </w:rPr>
        <w:t>often</w:t>
      </w:r>
      <w:r w:rsidRPr="00BA275D">
        <w:rPr>
          <w:rFonts w:asciiTheme="minorBidi" w:hAnsiTheme="minorBidi"/>
          <w:sz w:val="24"/>
          <w:szCs w:val="24"/>
        </w:rPr>
        <w:t xml:space="preserve"> feel comfortable urinating in the privacy of their own home but </w:t>
      </w:r>
      <w:r w:rsidR="00690577" w:rsidRPr="00BA275D">
        <w:rPr>
          <w:rFonts w:asciiTheme="minorBidi" w:hAnsiTheme="minorBidi"/>
          <w:sz w:val="24"/>
          <w:szCs w:val="24"/>
        </w:rPr>
        <w:t>problems</w:t>
      </w:r>
      <w:r w:rsidRPr="00BA275D">
        <w:rPr>
          <w:rFonts w:asciiTheme="minorBidi" w:hAnsiTheme="minorBidi"/>
          <w:sz w:val="24"/>
          <w:szCs w:val="24"/>
        </w:rPr>
        <w:t xml:space="preserve"> occur when they are in a </w:t>
      </w:r>
      <w:r w:rsidR="00690577" w:rsidRPr="00BA275D">
        <w:rPr>
          <w:rFonts w:asciiTheme="minorBidi" w:hAnsiTheme="minorBidi"/>
          <w:sz w:val="24"/>
          <w:szCs w:val="24"/>
        </w:rPr>
        <w:t>location</w:t>
      </w:r>
      <w:r w:rsidRPr="00BA275D">
        <w:rPr>
          <w:rFonts w:asciiTheme="minorBidi" w:hAnsiTheme="minorBidi"/>
          <w:sz w:val="24"/>
          <w:szCs w:val="24"/>
        </w:rPr>
        <w:t xml:space="preserve"> where others may be able to hear or observe them (e.g. </w:t>
      </w:r>
      <w:r w:rsidR="00690577" w:rsidRPr="00BA275D">
        <w:rPr>
          <w:rFonts w:asciiTheme="minorBidi" w:hAnsiTheme="minorBidi"/>
          <w:sz w:val="24"/>
          <w:szCs w:val="24"/>
        </w:rPr>
        <w:t xml:space="preserve">at work, </w:t>
      </w:r>
      <w:r w:rsidRPr="00BA275D">
        <w:rPr>
          <w:rFonts w:asciiTheme="minorBidi" w:hAnsiTheme="minorBidi"/>
          <w:sz w:val="24"/>
          <w:szCs w:val="24"/>
        </w:rPr>
        <w:t xml:space="preserve">public bathrooms, the homes of friends or family members). </w:t>
      </w:r>
      <w:r w:rsidR="00690577" w:rsidRPr="00BA275D">
        <w:rPr>
          <w:rFonts w:asciiTheme="minorBidi" w:hAnsiTheme="minorBidi"/>
          <w:sz w:val="24"/>
          <w:szCs w:val="24"/>
        </w:rPr>
        <w:t>F</w:t>
      </w:r>
      <w:r w:rsidRPr="00BA275D">
        <w:rPr>
          <w:rFonts w:asciiTheme="minorBidi" w:hAnsiTheme="minorBidi"/>
          <w:sz w:val="24"/>
          <w:szCs w:val="24"/>
        </w:rPr>
        <w:t>eatures of this difficulty include reduced power of urinary ‘flow’ and</w:t>
      </w:r>
      <w:r w:rsidR="00690577" w:rsidRPr="00BA275D">
        <w:rPr>
          <w:rFonts w:asciiTheme="minorBidi" w:hAnsiTheme="minorBidi"/>
          <w:sz w:val="24"/>
          <w:szCs w:val="24"/>
        </w:rPr>
        <w:t>/or</w:t>
      </w:r>
      <w:r w:rsidRPr="00BA275D">
        <w:rPr>
          <w:rFonts w:asciiTheme="minorBidi" w:hAnsiTheme="minorBidi"/>
          <w:sz w:val="24"/>
          <w:szCs w:val="24"/>
        </w:rPr>
        <w:t xml:space="preserve"> ‘volume’, a significant reduction in frequency of visits to the bathroom, advanced planning of bathroom visits and </w:t>
      </w:r>
      <w:r w:rsidR="00832742" w:rsidRPr="00BA275D">
        <w:rPr>
          <w:rFonts w:asciiTheme="minorBidi" w:hAnsiTheme="minorBidi"/>
          <w:sz w:val="24"/>
          <w:szCs w:val="24"/>
        </w:rPr>
        <w:t xml:space="preserve">pre and </w:t>
      </w:r>
      <w:r w:rsidRPr="00BA275D">
        <w:rPr>
          <w:rFonts w:asciiTheme="minorBidi" w:hAnsiTheme="minorBidi"/>
          <w:sz w:val="24"/>
          <w:szCs w:val="24"/>
        </w:rPr>
        <w:t xml:space="preserve">post-event cognitive processing of bathroom visits. Cessation and avoidance of urination in public or near public settings and increased urinary retention are overall features. </w:t>
      </w:r>
    </w:p>
    <w:p w:rsidR="0075130E" w:rsidRPr="00BA275D" w:rsidRDefault="0075130E" w:rsidP="0075130E">
      <w:pPr>
        <w:autoSpaceDE w:val="0"/>
        <w:autoSpaceDN w:val="0"/>
        <w:adjustRightInd w:val="0"/>
        <w:spacing w:after="0" w:line="240" w:lineRule="auto"/>
        <w:rPr>
          <w:rFonts w:asciiTheme="minorBidi" w:hAnsiTheme="minorBidi"/>
          <w:sz w:val="24"/>
          <w:szCs w:val="24"/>
        </w:rPr>
      </w:pPr>
    </w:p>
    <w:p w:rsidR="0075130E" w:rsidRPr="00BA275D" w:rsidRDefault="0075130E" w:rsidP="0075130E">
      <w:pPr>
        <w:autoSpaceDE w:val="0"/>
        <w:autoSpaceDN w:val="0"/>
        <w:adjustRightInd w:val="0"/>
        <w:spacing w:after="0" w:line="240" w:lineRule="auto"/>
        <w:rPr>
          <w:rFonts w:asciiTheme="minorBidi" w:hAnsiTheme="minorBidi"/>
          <w:sz w:val="24"/>
          <w:szCs w:val="24"/>
        </w:rPr>
      </w:pPr>
      <w:r w:rsidRPr="00BA275D">
        <w:rPr>
          <w:rFonts w:asciiTheme="minorBidi" w:hAnsiTheme="minorBidi"/>
          <w:sz w:val="24"/>
          <w:szCs w:val="24"/>
        </w:rPr>
        <w:t xml:space="preserve">This case presentation utilizes a Cognitive and Behavioral </w:t>
      </w:r>
      <w:proofErr w:type="spellStart"/>
      <w:r w:rsidRPr="00BA275D">
        <w:rPr>
          <w:rFonts w:asciiTheme="minorBidi" w:hAnsiTheme="minorBidi"/>
          <w:sz w:val="24"/>
          <w:szCs w:val="24"/>
        </w:rPr>
        <w:t>formulatory</w:t>
      </w:r>
      <w:proofErr w:type="spellEnd"/>
      <w:r w:rsidRPr="00BA275D">
        <w:rPr>
          <w:rFonts w:asciiTheme="minorBidi" w:hAnsiTheme="minorBidi"/>
          <w:sz w:val="24"/>
          <w:szCs w:val="24"/>
        </w:rPr>
        <w:t xml:space="preserve"> </w:t>
      </w:r>
      <w:r w:rsidR="00690577" w:rsidRPr="00BA275D">
        <w:rPr>
          <w:rFonts w:asciiTheme="minorBidi" w:hAnsiTheme="minorBidi"/>
          <w:sz w:val="24"/>
          <w:szCs w:val="24"/>
        </w:rPr>
        <w:t xml:space="preserve">treatment </w:t>
      </w:r>
      <w:r w:rsidRPr="00BA275D">
        <w:rPr>
          <w:rFonts w:asciiTheme="minorBidi" w:hAnsiTheme="minorBidi"/>
          <w:sz w:val="24"/>
          <w:szCs w:val="24"/>
        </w:rPr>
        <w:t>approach validated by rating scales (the Shy Bladder and Bowel Scale (Knowles and Skues, 2016), the Shy Bladder Scale (Deacon et al 2012), the Liebowitz Social Anxiety Scale (Liebowitz, 1987) and the Social Phobia Inventory (SPIN) (Connor and Jonathon, 2000). The case presentation concudes that Paruresis is still best understood as a subtype of Social Anxiety Disorder.</w:t>
      </w:r>
    </w:p>
    <w:p w:rsidR="0075130E" w:rsidRPr="00BA275D" w:rsidRDefault="0075130E" w:rsidP="0075130E">
      <w:pPr>
        <w:autoSpaceDE w:val="0"/>
        <w:autoSpaceDN w:val="0"/>
        <w:adjustRightInd w:val="0"/>
        <w:spacing w:after="0" w:line="240" w:lineRule="auto"/>
        <w:rPr>
          <w:rFonts w:asciiTheme="minorBidi" w:hAnsiTheme="minorBidi"/>
          <w:sz w:val="24"/>
          <w:szCs w:val="24"/>
        </w:rPr>
      </w:pPr>
    </w:p>
    <w:p w:rsidR="0075130E" w:rsidRPr="00BA275D" w:rsidRDefault="0075130E" w:rsidP="0075130E">
      <w:pPr>
        <w:autoSpaceDE w:val="0"/>
        <w:autoSpaceDN w:val="0"/>
        <w:adjustRightInd w:val="0"/>
        <w:spacing w:after="0" w:line="240" w:lineRule="auto"/>
        <w:rPr>
          <w:rFonts w:asciiTheme="minorBidi" w:hAnsiTheme="minorBidi"/>
          <w:sz w:val="24"/>
          <w:szCs w:val="24"/>
        </w:rPr>
      </w:pPr>
    </w:p>
    <w:p w:rsidR="0075130E" w:rsidRPr="00BA275D" w:rsidRDefault="0075130E" w:rsidP="0075130E">
      <w:pPr>
        <w:autoSpaceDE w:val="0"/>
        <w:autoSpaceDN w:val="0"/>
        <w:adjustRightInd w:val="0"/>
        <w:spacing w:after="0" w:line="240" w:lineRule="auto"/>
        <w:rPr>
          <w:rFonts w:asciiTheme="minorBidi" w:hAnsiTheme="minorBidi"/>
          <w:sz w:val="24"/>
          <w:szCs w:val="24"/>
        </w:rPr>
      </w:pPr>
    </w:p>
    <w:p w:rsidR="0075130E" w:rsidRPr="00BA275D" w:rsidRDefault="0075130E" w:rsidP="00A344A2">
      <w:pPr>
        <w:autoSpaceDE w:val="0"/>
        <w:autoSpaceDN w:val="0"/>
        <w:adjustRightInd w:val="0"/>
        <w:spacing w:after="0" w:line="240" w:lineRule="auto"/>
        <w:rPr>
          <w:rFonts w:asciiTheme="minorBidi" w:hAnsiTheme="minorBidi"/>
          <w:sz w:val="24"/>
          <w:szCs w:val="24"/>
        </w:rPr>
      </w:pPr>
      <w:r w:rsidRPr="00BA275D">
        <w:rPr>
          <w:rFonts w:ascii="Arial" w:hAnsi="Arial" w:cs="Arial"/>
          <w:sz w:val="24"/>
          <w:szCs w:val="24"/>
          <w:shd w:val="clear" w:color="auto" w:fill="FFFFFF"/>
        </w:rPr>
        <w:t>Connor K.M., Jonathan R.T., et al</w:t>
      </w:r>
      <w:r w:rsidRPr="00BA275D">
        <w:rPr>
          <w:rFonts w:ascii="Arial" w:hAnsi="Arial" w:cs="Arial"/>
          <w:i/>
          <w:iCs/>
          <w:sz w:val="24"/>
          <w:szCs w:val="24"/>
          <w:shd w:val="clear" w:color="auto" w:fill="FFFFFF"/>
        </w:rPr>
        <w:t xml:space="preserve">. Psychometric </w:t>
      </w:r>
      <w:r w:rsidR="00A344A2" w:rsidRPr="00BA275D">
        <w:rPr>
          <w:rFonts w:ascii="Arial" w:hAnsi="Arial" w:cs="Arial"/>
          <w:i/>
          <w:iCs/>
          <w:sz w:val="24"/>
          <w:szCs w:val="24"/>
          <w:shd w:val="clear" w:color="auto" w:fill="FFFFFF"/>
        </w:rPr>
        <w:t>P</w:t>
      </w:r>
      <w:r w:rsidRPr="00BA275D">
        <w:rPr>
          <w:rFonts w:ascii="Arial" w:hAnsi="Arial" w:cs="Arial"/>
          <w:i/>
          <w:iCs/>
          <w:sz w:val="24"/>
          <w:szCs w:val="24"/>
          <w:shd w:val="clear" w:color="auto" w:fill="FFFFFF"/>
        </w:rPr>
        <w:t>roperties of the Social Phobia Inventory (SPIN): New self-rating scale.</w:t>
      </w:r>
      <w:r w:rsidRPr="00BA275D">
        <w:rPr>
          <w:rFonts w:ascii="Arial" w:hAnsi="Arial" w:cs="Arial"/>
          <w:sz w:val="24"/>
          <w:szCs w:val="24"/>
          <w:shd w:val="clear" w:color="auto" w:fill="FFFFFF"/>
        </w:rPr>
        <w:t xml:space="preserve"> The British Journal of Psychiatry (2000) 176: 379-386 </w:t>
      </w:r>
    </w:p>
    <w:p w:rsidR="0075130E" w:rsidRPr="00BA275D" w:rsidRDefault="0075130E" w:rsidP="0075130E">
      <w:pPr>
        <w:autoSpaceDE w:val="0"/>
        <w:autoSpaceDN w:val="0"/>
        <w:adjustRightInd w:val="0"/>
        <w:spacing w:after="0" w:line="240" w:lineRule="auto"/>
        <w:rPr>
          <w:rFonts w:asciiTheme="minorBidi" w:hAnsiTheme="minorBidi"/>
          <w:sz w:val="24"/>
          <w:szCs w:val="24"/>
        </w:rPr>
      </w:pPr>
    </w:p>
    <w:p w:rsidR="0075130E" w:rsidRPr="00BA275D" w:rsidRDefault="0075130E" w:rsidP="0075130E">
      <w:pPr>
        <w:autoSpaceDE w:val="0"/>
        <w:autoSpaceDN w:val="0"/>
        <w:adjustRightInd w:val="0"/>
        <w:spacing w:after="0" w:line="240" w:lineRule="auto"/>
        <w:rPr>
          <w:rFonts w:asciiTheme="minorBidi" w:hAnsiTheme="minorBidi"/>
          <w:sz w:val="24"/>
          <w:szCs w:val="24"/>
        </w:rPr>
      </w:pPr>
      <w:r w:rsidRPr="00BA275D">
        <w:rPr>
          <w:rFonts w:asciiTheme="minorBidi" w:hAnsiTheme="minorBidi"/>
          <w:sz w:val="24"/>
          <w:szCs w:val="24"/>
        </w:rPr>
        <w:t xml:space="preserve">Deacon, B.J. et al (2012) </w:t>
      </w:r>
      <w:r w:rsidRPr="00BA275D">
        <w:rPr>
          <w:rFonts w:asciiTheme="minorBidi" w:hAnsiTheme="minorBidi"/>
          <w:i/>
          <w:iCs/>
          <w:sz w:val="24"/>
          <w:szCs w:val="24"/>
        </w:rPr>
        <w:t>Development and Validation of the Shy Bladder Scale,</w:t>
      </w:r>
      <w:r w:rsidRPr="00BA275D">
        <w:rPr>
          <w:rFonts w:asciiTheme="minorBidi" w:hAnsiTheme="minorBidi"/>
          <w:sz w:val="24"/>
          <w:szCs w:val="24"/>
        </w:rPr>
        <w:t xml:space="preserve"> Cognitive Behavior Therapy, 41:3, 251-260.</w:t>
      </w:r>
    </w:p>
    <w:p w:rsidR="0075130E" w:rsidRPr="00BA275D" w:rsidRDefault="0075130E" w:rsidP="0075130E">
      <w:pPr>
        <w:rPr>
          <w:sz w:val="24"/>
          <w:szCs w:val="24"/>
        </w:rPr>
      </w:pPr>
    </w:p>
    <w:p w:rsidR="0075130E" w:rsidRPr="00BA275D" w:rsidRDefault="0075130E" w:rsidP="0075130E">
      <w:pPr>
        <w:autoSpaceDE w:val="0"/>
        <w:autoSpaceDN w:val="0"/>
        <w:adjustRightInd w:val="0"/>
        <w:spacing w:after="0" w:line="240" w:lineRule="auto"/>
        <w:rPr>
          <w:rFonts w:asciiTheme="minorBidi" w:hAnsiTheme="minorBidi"/>
          <w:sz w:val="24"/>
          <w:szCs w:val="24"/>
        </w:rPr>
      </w:pPr>
      <w:r w:rsidRPr="00BA275D">
        <w:rPr>
          <w:rFonts w:asciiTheme="minorBidi" w:hAnsiTheme="minorBidi"/>
          <w:sz w:val="24"/>
          <w:szCs w:val="24"/>
        </w:rPr>
        <w:t>Knowles, S.R et al (2016) Development and validation of the Shy Bladder and Bowel Scale (SBBS), Cognitive Behavior Therapy, 45:4, 324-338,</w:t>
      </w:r>
    </w:p>
    <w:p w:rsidR="0075130E" w:rsidRPr="00BA275D" w:rsidRDefault="0075130E" w:rsidP="0075130E">
      <w:pPr>
        <w:autoSpaceDE w:val="0"/>
        <w:autoSpaceDN w:val="0"/>
        <w:adjustRightInd w:val="0"/>
        <w:spacing w:after="0" w:line="240" w:lineRule="auto"/>
        <w:rPr>
          <w:rFonts w:asciiTheme="minorBidi" w:hAnsiTheme="minorBidi"/>
          <w:sz w:val="24"/>
          <w:szCs w:val="24"/>
        </w:rPr>
      </w:pPr>
    </w:p>
    <w:p w:rsidR="0075130E" w:rsidRPr="00BA275D" w:rsidRDefault="0075130E" w:rsidP="0075130E">
      <w:pPr>
        <w:autoSpaceDE w:val="0"/>
        <w:autoSpaceDN w:val="0"/>
        <w:adjustRightInd w:val="0"/>
        <w:spacing w:after="0" w:line="240" w:lineRule="auto"/>
        <w:rPr>
          <w:rStyle w:val="HTMLCite"/>
          <w:i w:val="0"/>
          <w:iCs w:val="0"/>
          <w:sz w:val="24"/>
          <w:szCs w:val="24"/>
          <w:shd w:val="clear" w:color="auto" w:fill="FFFFFF"/>
        </w:rPr>
      </w:pPr>
      <w:r w:rsidRPr="00BA275D">
        <w:rPr>
          <w:rStyle w:val="HTMLCite"/>
          <w:rFonts w:asciiTheme="minorBidi" w:hAnsiTheme="minorBidi"/>
          <w:i w:val="0"/>
          <w:iCs w:val="0"/>
          <w:sz w:val="24"/>
          <w:szCs w:val="24"/>
          <w:shd w:val="clear" w:color="auto" w:fill="FFFFFF"/>
        </w:rPr>
        <w:t xml:space="preserve">Liebowitz, M. R (1987). </w:t>
      </w:r>
      <w:r w:rsidRPr="00BA275D">
        <w:rPr>
          <w:rStyle w:val="HTMLCite"/>
          <w:rFonts w:asciiTheme="minorBidi" w:hAnsiTheme="minorBidi"/>
          <w:sz w:val="24"/>
          <w:szCs w:val="24"/>
          <w:shd w:val="clear" w:color="auto" w:fill="FFFFFF"/>
        </w:rPr>
        <w:t>Social Phobia</w:t>
      </w:r>
      <w:r w:rsidRPr="00BA275D">
        <w:rPr>
          <w:rStyle w:val="HTMLCite"/>
          <w:rFonts w:asciiTheme="minorBidi" w:hAnsiTheme="minorBidi"/>
          <w:i w:val="0"/>
          <w:iCs w:val="0"/>
          <w:sz w:val="24"/>
          <w:szCs w:val="24"/>
          <w:shd w:val="clear" w:color="auto" w:fill="FFFFFF"/>
        </w:rPr>
        <w:t>. Modern Trends in Pharmacopsychiatry. 22.141–73</w:t>
      </w:r>
    </w:p>
    <w:p w:rsidR="00507991" w:rsidRDefault="00507991"/>
    <w:sectPr w:rsidR="005079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30E"/>
    <w:rsid w:val="00301B07"/>
    <w:rsid w:val="00507991"/>
    <w:rsid w:val="00690577"/>
    <w:rsid w:val="0075130E"/>
    <w:rsid w:val="00832742"/>
    <w:rsid w:val="00A344A2"/>
    <w:rsid w:val="00BA27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19F3C"/>
  <w15:chartTrackingRefBased/>
  <w15:docId w15:val="{7677EDA8-3813-4C8E-889A-8A2D3881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30E"/>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7513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559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Roberts</dc:creator>
  <cp:keywords/>
  <dc:description/>
  <cp:lastModifiedBy>John Roberts</cp:lastModifiedBy>
  <cp:revision>6</cp:revision>
  <dcterms:created xsi:type="dcterms:W3CDTF">2018-12-16T06:48:00Z</dcterms:created>
  <dcterms:modified xsi:type="dcterms:W3CDTF">2019-03-07T06:04:00Z</dcterms:modified>
</cp:coreProperties>
</file>