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E150F" w:rsidP="00494130">
      <w:pPr>
        <w:pStyle w:val="Heading1"/>
        <w:spacing w:before="170"/>
        <w:ind w:left="0"/>
      </w:pPr>
      <w:proofErr w:type="spellStart"/>
      <w:r>
        <w:rPr>
          <w:color w:val="337AB7"/>
        </w:rPr>
        <w:t>Neuroprotective</w:t>
      </w:r>
      <w:proofErr w:type="spellEnd"/>
      <w:r>
        <w:rPr>
          <w:color w:val="337AB7"/>
        </w:rPr>
        <w:t xml:space="preserve"> effect of Erythropoietin</w:t>
      </w:r>
    </w:p>
    <w:p w:rsidR="00DE150F" w:rsidRDefault="00DE150F" w:rsidP="00DE150F">
      <w:pPr>
        <w:pStyle w:val="BodyText"/>
        <w:spacing w:before="73" w:line="198" w:lineRule="exact"/>
        <w:ind w:right="5987"/>
        <w:rPr>
          <w:rFonts w:ascii="Arial"/>
        </w:rPr>
      </w:pPr>
      <w:r>
        <w:rPr>
          <w:rFonts w:ascii="Arial"/>
        </w:rPr>
        <w:t xml:space="preserve">Reza </w:t>
      </w:r>
      <w:proofErr w:type="spellStart"/>
      <w:r>
        <w:rPr>
          <w:rFonts w:ascii="Arial"/>
        </w:rPr>
        <w:t>Nejat</w:t>
      </w:r>
      <w:proofErr w:type="spellEnd"/>
      <w:r>
        <w:rPr>
          <w:rFonts w:ascii="Arial"/>
        </w:rPr>
        <w:t xml:space="preserve">, M. D., </w:t>
      </w:r>
    </w:p>
    <w:p w:rsidR="005973B9" w:rsidRDefault="00DE150F" w:rsidP="00DE150F">
      <w:pPr>
        <w:pStyle w:val="BodyText"/>
        <w:spacing w:before="73" w:line="198" w:lineRule="exact"/>
        <w:ind w:right="5987"/>
        <w:rPr>
          <w:rFonts w:ascii="Arial"/>
        </w:rPr>
      </w:pPr>
      <w:r>
        <w:rPr>
          <w:rFonts w:ascii="Arial"/>
        </w:rPr>
        <w:t>Anesthesiologist, FCCM</w:t>
      </w:r>
    </w:p>
    <w:p w:rsidR="00DE150F" w:rsidRPr="00F81E23" w:rsidRDefault="00DE150F" w:rsidP="00DE150F">
      <w:pPr>
        <w:pStyle w:val="BodyText"/>
        <w:spacing w:before="73" w:line="198" w:lineRule="exact"/>
        <w:ind w:right="5987"/>
        <w:rPr>
          <w:rFonts w:ascii="Arial" w:cstheme="minorBidi"/>
          <w:rtl/>
          <w:lang w:bidi="fa-IR"/>
        </w:rPr>
      </w:pPr>
      <w:r>
        <w:rPr>
          <w:rFonts w:ascii="Arial"/>
        </w:rPr>
        <w:t>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94418" w:rsidRPr="00EC563C" w:rsidRDefault="00A9710C" w:rsidP="00694418">
      <w:pPr>
        <w:pStyle w:val="BodyText"/>
        <w:spacing w:before="90" w:line="280" w:lineRule="auto"/>
        <w:ind w:left="100"/>
        <w:jc w:val="both"/>
        <w:rPr>
          <w:rFonts w:asciiTheme="majorBidi" w:hAnsiTheme="majorBidi" w:cstheme="majorBidi"/>
          <w:sz w:val="24"/>
          <w:szCs w:val="24"/>
        </w:rPr>
      </w:pPr>
      <w:r>
        <w:t xml:space="preserve">Statement of the Problem: </w:t>
      </w:r>
      <w:r w:rsidR="00694418" w:rsidRPr="00EC563C">
        <w:rPr>
          <w:rFonts w:asciiTheme="majorBidi" w:hAnsiTheme="majorBidi" w:cstheme="majorBidi"/>
          <w:sz w:val="24"/>
          <w:szCs w:val="24"/>
        </w:rPr>
        <w:t xml:space="preserve">During the last 25 years in animal, ex-vivo, </w:t>
      </w:r>
      <w:proofErr w:type="gramStart"/>
      <w:r w:rsidR="00694418" w:rsidRPr="00EC563C">
        <w:rPr>
          <w:rFonts w:asciiTheme="majorBidi" w:hAnsiTheme="majorBidi" w:cstheme="majorBidi"/>
          <w:sz w:val="24"/>
          <w:szCs w:val="24"/>
        </w:rPr>
        <w:t>in</w:t>
      </w:r>
      <w:proofErr w:type="gramEnd"/>
      <w:r w:rsidR="00694418" w:rsidRPr="00EC563C">
        <w:rPr>
          <w:rFonts w:asciiTheme="majorBidi" w:hAnsiTheme="majorBidi" w:cstheme="majorBidi"/>
          <w:sz w:val="24"/>
          <w:szCs w:val="24"/>
        </w:rPr>
        <w:t xml:space="preserve">-vitro and even in some clinical studies, cell protective effect of erythropoietin, a growth hormone used for </w:t>
      </w:r>
      <w:proofErr w:type="spellStart"/>
      <w:r w:rsidR="00694418" w:rsidRPr="00EC563C">
        <w:rPr>
          <w:rFonts w:asciiTheme="majorBidi" w:hAnsiTheme="majorBidi" w:cstheme="majorBidi"/>
          <w:sz w:val="24"/>
          <w:szCs w:val="24"/>
        </w:rPr>
        <w:t>eruthropoiesis</w:t>
      </w:r>
      <w:proofErr w:type="spellEnd"/>
      <w:r w:rsidR="00694418" w:rsidRPr="00EC563C">
        <w:rPr>
          <w:rFonts w:asciiTheme="majorBidi" w:hAnsiTheme="majorBidi" w:cstheme="majorBidi"/>
          <w:sz w:val="24"/>
          <w:szCs w:val="24"/>
        </w:rPr>
        <w:t xml:space="preserve">, was clarified even though the German Multicenter EPO Stroke Trial revealed that administration of this growth factor might even be hazardous to humans. On the contrary, huge amount of studies thereafter, like the conclusion achieved in 2010 by </w:t>
      </w:r>
      <w:proofErr w:type="spellStart"/>
      <w:r w:rsidR="00694418" w:rsidRPr="00EC563C">
        <w:rPr>
          <w:rFonts w:asciiTheme="majorBidi" w:hAnsiTheme="majorBidi" w:cstheme="majorBidi"/>
          <w:sz w:val="24"/>
          <w:szCs w:val="24"/>
        </w:rPr>
        <w:t>Elmahdy</w:t>
      </w:r>
      <w:proofErr w:type="spellEnd"/>
      <w:r w:rsidR="00694418" w:rsidRPr="00EC563C">
        <w:rPr>
          <w:rFonts w:asciiTheme="majorBidi" w:hAnsiTheme="majorBidi" w:cstheme="majorBidi"/>
          <w:sz w:val="24"/>
          <w:szCs w:val="24"/>
        </w:rPr>
        <w:t xml:space="preserve"> and colleagues, could elucidate the anti-inflammatory cell-protective potentials of erythropoietin in neurological injuries and disorders recently categorized as </w:t>
      </w:r>
      <w:proofErr w:type="spellStart"/>
      <w:r w:rsidR="00694418" w:rsidRPr="00EC563C">
        <w:rPr>
          <w:rFonts w:asciiTheme="majorBidi" w:hAnsiTheme="majorBidi" w:cstheme="majorBidi"/>
          <w:sz w:val="24"/>
          <w:szCs w:val="24"/>
        </w:rPr>
        <w:t>neuroinflammatory</w:t>
      </w:r>
      <w:proofErr w:type="spellEnd"/>
      <w:r w:rsidR="00694418" w:rsidRPr="00EC563C">
        <w:rPr>
          <w:rFonts w:asciiTheme="majorBidi" w:hAnsiTheme="majorBidi" w:cstheme="majorBidi"/>
          <w:sz w:val="24"/>
          <w:szCs w:val="24"/>
        </w:rPr>
        <w:t xml:space="preserve"> entities. The </w:t>
      </w:r>
      <w:proofErr w:type="spellStart"/>
      <w:r w:rsidR="00694418" w:rsidRPr="00EC563C">
        <w:rPr>
          <w:rFonts w:asciiTheme="majorBidi" w:hAnsiTheme="majorBidi" w:cstheme="majorBidi"/>
          <w:sz w:val="24"/>
          <w:szCs w:val="24"/>
        </w:rPr>
        <w:t>neuroprotective</w:t>
      </w:r>
      <w:proofErr w:type="spellEnd"/>
      <w:r w:rsidR="00694418" w:rsidRPr="00EC563C">
        <w:rPr>
          <w:rFonts w:asciiTheme="majorBidi" w:hAnsiTheme="majorBidi" w:cstheme="majorBidi"/>
          <w:sz w:val="24"/>
          <w:szCs w:val="24"/>
        </w:rPr>
        <w:t xml:space="preserve"> effect of this </w:t>
      </w:r>
      <w:proofErr w:type="spellStart"/>
      <w:r w:rsidR="00694418" w:rsidRPr="00EC563C">
        <w:rPr>
          <w:rFonts w:asciiTheme="majorBidi" w:hAnsiTheme="majorBidi" w:cstheme="majorBidi"/>
          <w:sz w:val="24"/>
          <w:szCs w:val="24"/>
        </w:rPr>
        <w:t>endo</w:t>
      </w:r>
      <w:proofErr w:type="spellEnd"/>
      <w:r w:rsidR="00694418" w:rsidRPr="00EC563C">
        <w:rPr>
          <w:rFonts w:asciiTheme="majorBidi" w:hAnsiTheme="majorBidi" w:cstheme="majorBidi"/>
          <w:sz w:val="24"/>
          <w:szCs w:val="24"/>
        </w:rPr>
        <w:t xml:space="preserve">-hormone and its safety, if proved clinically might change the fate of many disabled patients in the future. </w:t>
      </w:r>
    </w:p>
    <w:p w:rsidR="00694418" w:rsidRPr="00EC563C" w:rsidRDefault="00694418" w:rsidP="00694418">
      <w:pPr>
        <w:pStyle w:val="BodyText"/>
        <w:spacing w:before="90" w:line="280" w:lineRule="auto"/>
        <w:ind w:left="100"/>
        <w:jc w:val="both"/>
        <w:rPr>
          <w:rFonts w:asciiTheme="majorBidi" w:hAnsiTheme="majorBidi" w:cstheme="majorBidi"/>
          <w:sz w:val="24"/>
          <w:szCs w:val="24"/>
        </w:rPr>
      </w:pPr>
      <w:r w:rsidRPr="00EC563C">
        <w:rPr>
          <w:rFonts w:asciiTheme="majorBidi" w:hAnsiTheme="majorBidi" w:cstheme="majorBidi"/>
          <w:sz w:val="24"/>
          <w:szCs w:val="24"/>
          <w:u w:val="single"/>
        </w:rPr>
        <w:t>Methodology &amp; Theoretical Orientation:</w:t>
      </w:r>
      <w:r w:rsidRPr="00EC563C">
        <w:rPr>
          <w:rFonts w:asciiTheme="majorBidi" w:hAnsiTheme="majorBidi" w:cstheme="majorBidi"/>
          <w:sz w:val="24"/>
          <w:szCs w:val="24"/>
        </w:rPr>
        <w:t xml:space="preserve"> Near 270 articles including reviews and animal, in-vitro, ex-vivo and clinically case-control studies downloaded from science direct and </w:t>
      </w:r>
      <w:proofErr w:type="spellStart"/>
      <w:r w:rsidRPr="00EC563C">
        <w:rPr>
          <w:rFonts w:asciiTheme="majorBidi" w:hAnsiTheme="majorBidi" w:cstheme="majorBidi"/>
          <w:sz w:val="24"/>
          <w:szCs w:val="24"/>
        </w:rPr>
        <w:t>pubmed</w:t>
      </w:r>
      <w:proofErr w:type="spellEnd"/>
      <w:r w:rsidRPr="00EC563C">
        <w:rPr>
          <w:rFonts w:asciiTheme="majorBidi" w:hAnsiTheme="majorBidi" w:cstheme="majorBidi"/>
          <w:sz w:val="24"/>
          <w:szCs w:val="24"/>
        </w:rPr>
        <w:t xml:space="preserve"> websites were studied. </w:t>
      </w:r>
    </w:p>
    <w:p w:rsidR="009C048D" w:rsidRDefault="009C048D" w:rsidP="009C048D">
      <w:pPr>
        <w:pStyle w:val="BodyText"/>
        <w:spacing w:before="90" w:line="280" w:lineRule="auto"/>
        <w:ind w:left="100"/>
        <w:jc w:val="both"/>
        <w:rPr>
          <w:rFonts w:asciiTheme="majorBidi" w:hAnsiTheme="majorBidi" w:cstheme="majorBidi"/>
          <w:sz w:val="24"/>
          <w:szCs w:val="24"/>
        </w:rPr>
      </w:pPr>
      <w:r w:rsidRPr="00EC563C">
        <w:rPr>
          <w:rFonts w:asciiTheme="majorBidi" w:hAnsiTheme="majorBidi" w:cstheme="majorBidi"/>
          <w:sz w:val="24"/>
          <w:szCs w:val="24"/>
          <w:u w:val="single"/>
        </w:rPr>
        <w:t xml:space="preserve">Conclusion &amp; Significance: </w:t>
      </w:r>
      <w:r w:rsidRPr="00EC563C">
        <w:rPr>
          <w:rFonts w:asciiTheme="majorBidi" w:hAnsiTheme="majorBidi" w:cstheme="majorBidi"/>
          <w:sz w:val="24"/>
          <w:szCs w:val="24"/>
        </w:rPr>
        <w:t xml:space="preserve">It has long been believed </w:t>
      </w:r>
      <w:proofErr w:type="gramStart"/>
      <w:r w:rsidRPr="00EC563C">
        <w:rPr>
          <w:rFonts w:asciiTheme="majorBidi" w:hAnsiTheme="majorBidi" w:cstheme="majorBidi"/>
          <w:sz w:val="24"/>
          <w:szCs w:val="24"/>
        </w:rPr>
        <w:t>that</w:t>
      </w:r>
      <w:proofErr w:type="gramEnd"/>
      <w:r w:rsidRPr="00EC563C">
        <w:rPr>
          <w:rFonts w:asciiTheme="majorBidi" w:hAnsiTheme="majorBidi" w:cstheme="majorBidi"/>
          <w:sz w:val="24"/>
          <w:szCs w:val="24"/>
        </w:rPr>
        <w:t xml:space="preserve"> neural cells do not have the potentials to proliferate nor regenerate in case they encounter diverse sorts of insults including of hypoxic, hypoglycemic, oxidative and even apoptotic origin. A growing number of studies have shown that erythropoietin receptor is distributed </w:t>
      </w:r>
      <w:r>
        <w:rPr>
          <w:rFonts w:asciiTheme="majorBidi" w:hAnsiTheme="majorBidi" w:cstheme="majorBidi"/>
          <w:sz w:val="24"/>
          <w:szCs w:val="24"/>
        </w:rPr>
        <w:t>extensively in</w:t>
      </w:r>
      <w:r w:rsidRPr="00EC563C">
        <w:rPr>
          <w:rFonts w:asciiTheme="majorBidi" w:hAnsiTheme="majorBidi" w:cstheme="majorBidi"/>
          <w:sz w:val="24"/>
          <w:szCs w:val="24"/>
        </w:rPr>
        <w:t xml:space="preserve"> the nervous system on the </w:t>
      </w:r>
      <w:r>
        <w:rPr>
          <w:rFonts w:asciiTheme="majorBidi" w:hAnsiTheme="majorBidi" w:cstheme="majorBidi"/>
          <w:sz w:val="24"/>
          <w:szCs w:val="24"/>
        </w:rPr>
        <w:t>neurovascular unit cells</w:t>
      </w:r>
      <w:r w:rsidRPr="00EC563C">
        <w:rPr>
          <w:rFonts w:asciiTheme="majorBidi" w:hAnsiTheme="majorBidi" w:cstheme="majorBidi"/>
          <w:sz w:val="24"/>
          <w:szCs w:val="24"/>
        </w:rPr>
        <w:t xml:space="preserve"> and erythropoietin participates in many cell-protective anti-apoptotic pathways in the central and peripheral nervous systems. These pathways also have significant contributions to plasticity of the neuronal tissues which by itself shows the probable role of this growth factor in even restoring of memory and intelligence in post-injury period. A recent phase </w:t>
      </w:r>
      <w:r w:rsidRPr="00EC563C">
        <w:rPr>
          <w:rFonts w:asciiTheme="majorBidi" w:hAnsiTheme="majorBidi" w:cstheme="majorBidi"/>
          <w:sz w:val="24"/>
          <w:szCs w:val="24"/>
        </w:rPr>
        <w:lastRenderedPageBreak/>
        <w:t xml:space="preserve">II </w:t>
      </w:r>
      <w:r w:rsidRPr="00EC563C">
        <w:rPr>
          <w:rFonts w:asciiTheme="majorBidi" w:hAnsiTheme="majorBidi" w:cstheme="majorBidi"/>
          <w:color w:val="000000"/>
          <w:sz w:val="24"/>
          <w:szCs w:val="24"/>
        </w:rPr>
        <w:t>study in infants with moderate to severe hypoxic/ischemic encephalopathy has demonstrated EPO</w:t>
      </w:r>
      <w:r>
        <w:rPr>
          <w:rFonts w:asciiTheme="majorBidi" w:hAnsiTheme="majorBidi" w:cstheme="majorBidi"/>
          <w:color w:val="000000"/>
          <w:sz w:val="24"/>
          <w:szCs w:val="24"/>
        </w:rPr>
        <w:t>’s effect in diminishing</w:t>
      </w:r>
      <w:r w:rsidRPr="00EC563C">
        <w:rPr>
          <w:rFonts w:asciiTheme="majorBidi" w:hAnsiTheme="majorBidi" w:cstheme="majorBidi"/>
          <w:color w:val="000000"/>
          <w:sz w:val="24"/>
          <w:szCs w:val="24"/>
        </w:rPr>
        <w:t xml:space="preserve"> </w:t>
      </w:r>
      <w:r>
        <w:rPr>
          <w:rFonts w:asciiTheme="majorBidi" w:hAnsiTheme="majorBidi" w:cstheme="majorBidi"/>
          <w:color w:val="000000"/>
          <w:sz w:val="24"/>
          <w:szCs w:val="24"/>
        </w:rPr>
        <w:t>MRI brain injury and improving</w:t>
      </w:r>
      <w:r w:rsidRPr="00EC563C">
        <w:rPr>
          <w:rFonts w:asciiTheme="majorBidi" w:hAnsiTheme="majorBidi" w:cstheme="majorBidi"/>
          <w:color w:val="000000"/>
          <w:sz w:val="24"/>
          <w:szCs w:val="24"/>
        </w:rPr>
        <w:t xml:space="preserve"> the motor function of the infants after 1 year.</w:t>
      </w:r>
      <w:r>
        <w:rPr>
          <w:rFonts w:asciiTheme="majorBidi" w:hAnsiTheme="majorBidi" w:cstheme="majorBidi"/>
          <w:color w:val="000000"/>
          <w:sz w:val="24"/>
          <w:szCs w:val="24"/>
        </w:rPr>
        <w:t xml:space="preserve"> It seems to be a must to conduct </w:t>
      </w:r>
      <w:r w:rsidRPr="00EC563C">
        <w:rPr>
          <w:rFonts w:asciiTheme="majorBidi" w:hAnsiTheme="majorBidi" w:cstheme="majorBidi"/>
          <w:sz w:val="24"/>
          <w:szCs w:val="24"/>
        </w:rPr>
        <w:t>more sophisticated methodological case control studies</w:t>
      </w:r>
      <w:r>
        <w:rPr>
          <w:rFonts w:asciiTheme="majorBidi" w:hAnsiTheme="majorBidi" w:cstheme="majorBidi"/>
          <w:sz w:val="24"/>
          <w:szCs w:val="24"/>
        </w:rPr>
        <w:t xml:space="preserve"> to elucidate the magical effects of this </w:t>
      </w:r>
      <w:proofErr w:type="spellStart"/>
      <w:r>
        <w:rPr>
          <w:rFonts w:asciiTheme="majorBidi" w:hAnsiTheme="majorBidi" w:cstheme="majorBidi"/>
          <w:sz w:val="24"/>
          <w:szCs w:val="24"/>
        </w:rPr>
        <w:t>endo</w:t>
      </w:r>
      <w:proofErr w:type="spellEnd"/>
      <w:r>
        <w:rPr>
          <w:rFonts w:asciiTheme="majorBidi" w:hAnsiTheme="majorBidi" w:cstheme="majorBidi"/>
          <w:sz w:val="24"/>
          <w:szCs w:val="24"/>
        </w:rPr>
        <w:t xml:space="preserve">-hormone. </w:t>
      </w:r>
    </w:p>
    <w:p w:rsidR="00AE3E37" w:rsidRDefault="009C048D" w:rsidP="009C048D">
      <w:pPr>
        <w:pStyle w:val="BodyText"/>
        <w:spacing w:before="90" w:line="280" w:lineRule="auto"/>
        <w:ind w:left="100"/>
        <w:jc w:val="both"/>
        <w:rPr>
          <w:color w:val="BF5A14"/>
        </w:rPr>
      </w:pPr>
      <w:r>
        <w:rPr>
          <w:color w:val="BF5A14"/>
        </w:rPr>
        <w:t>Image</w:t>
      </w:r>
    </w:p>
    <w:p w:rsidR="009C048D" w:rsidRDefault="009C048D" w:rsidP="009C048D">
      <w:pPr>
        <w:pStyle w:val="BodyText"/>
        <w:spacing w:before="90" w:line="280" w:lineRule="auto"/>
        <w:ind w:left="100"/>
        <w:jc w:val="both"/>
        <w:rPr>
          <w:color w:val="BF5A14"/>
        </w:rPr>
      </w:pPr>
    </w:p>
    <w:p w:rsidR="009C048D" w:rsidRDefault="009C048D" w:rsidP="009C048D">
      <w:pPr>
        <w:pStyle w:val="BodyText"/>
        <w:spacing w:before="90" w:line="280" w:lineRule="auto"/>
        <w:ind w:left="100"/>
        <w:jc w:val="both"/>
        <w:rPr>
          <w:rFonts w:ascii="Arial"/>
          <w:b/>
          <w:sz w:val="16"/>
        </w:rPr>
      </w:pPr>
      <w:r>
        <w:rPr>
          <w:noProof/>
        </w:rPr>
        <w:drawing>
          <wp:inline distT="0" distB="0" distL="0" distR="0" wp14:anchorId="6749A299" wp14:editId="0EEFC324">
            <wp:extent cx="1814285" cy="2235200"/>
            <wp:effectExtent l="0" t="0" r="0" b="1079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C048D" w:rsidRPr="006847A6" w:rsidRDefault="009C048D" w:rsidP="009C048D">
      <w:pPr>
        <w:jc w:val="center"/>
        <w:rPr>
          <w:rFonts w:asciiTheme="majorBidi" w:hAnsiTheme="majorBidi" w:cstheme="majorBidi"/>
          <w:b/>
          <w:bCs/>
        </w:rPr>
      </w:pPr>
      <w:r w:rsidRPr="006847A6">
        <w:rPr>
          <w:rFonts w:asciiTheme="majorBidi" w:hAnsiTheme="majorBidi" w:cstheme="majorBidi"/>
          <w:b/>
          <w:bCs/>
        </w:rPr>
        <w:t xml:space="preserve">HIF-1: Hypoxic inducible factor 1; IGF-1: insulin like growth factor 1; </w:t>
      </w:r>
      <w:proofErr w:type="spellStart"/>
      <w:r w:rsidRPr="006847A6">
        <w:rPr>
          <w:rFonts w:asciiTheme="majorBidi" w:hAnsiTheme="majorBidi" w:cstheme="majorBidi"/>
          <w:b/>
          <w:bCs/>
        </w:rPr>
        <w:t>Epo</w:t>
      </w:r>
      <w:proofErr w:type="spellEnd"/>
      <w:r w:rsidRPr="006847A6">
        <w:rPr>
          <w:rFonts w:asciiTheme="majorBidi" w:hAnsiTheme="majorBidi" w:cstheme="majorBidi"/>
          <w:b/>
          <w:bCs/>
        </w:rPr>
        <w:t>: erythropoietin; VEGF: vascular endothelial growth factor, PDGF: platelet derived growth factor</w:t>
      </w:r>
    </w:p>
    <w:p w:rsidR="005973B9" w:rsidRDefault="005973B9" w:rsidP="005973B9">
      <w:pPr>
        <w:spacing w:line="204" w:lineRule="exact"/>
        <w:rPr>
          <w:rFonts w:ascii="Arial"/>
          <w:b/>
          <w:sz w:val="20"/>
        </w:rPr>
      </w:pPr>
      <w:r>
        <w:rPr>
          <w:rFonts w:ascii="Arial"/>
          <w:b/>
          <w:color w:val="BF5A14"/>
          <w:sz w:val="20"/>
        </w:rPr>
        <w:br/>
        <w:t>Recent Publications (minimum 5)</w:t>
      </w:r>
    </w:p>
    <w:p w:rsidR="00B21BA3" w:rsidRPr="00333F70" w:rsidRDefault="00B21BA3" w:rsidP="00B21BA3">
      <w:pPr>
        <w:pStyle w:val="ListParagraph"/>
        <w:widowControl/>
        <w:numPr>
          <w:ilvl w:val="0"/>
          <w:numId w:val="3"/>
        </w:numPr>
        <w:spacing w:before="0" w:line="240" w:lineRule="auto"/>
        <w:contextualSpacing/>
        <w:rPr>
          <w:rFonts w:asciiTheme="majorBidi" w:eastAsia="Times New Roman" w:hAnsiTheme="majorBidi" w:cstheme="majorBidi"/>
          <w:color w:val="000000"/>
          <w:sz w:val="24"/>
          <w:szCs w:val="24"/>
        </w:rPr>
      </w:pPr>
      <w:proofErr w:type="spellStart"/>
      <w:r w:rsidRPr="00333F70">
        <w:rPr>
          <w:rFonts w:asciiTheme="majorBidi" w:eastAsia="Times New Roman" w:hAnsiTheme="majorBidi" w:cstheme="majorBidi"/>
          <w:color w:val="000000"/>
          <w:sz w:val="24"/>
          <w:szCs w:val="24"/>
        </w:rPr>
        <w:t>Ehrenr</w:t>
      </w:r>
      <w:r>
        <w:rPr>
          <w:rFonts w:asciiTheme="majorBidi" w:eastAsia="Times New Roman" w:hAnsiTheme="majorBidi" w:cstheme="majorBidi"/>
          <w:color w:val="000000"/>
          <w:sz w:val="24"/>
          <w:szCs w:val="24"/>
        </w:rPr>
        <w:t>eich</w:t>
      </w:r>
      <w:proofErr w:type="spellEnd"/>
      <w:r>
        <w:rPr>
          <w:rFonts w:asciiTheme="majorBidi" w:eastAsia="Times New Roman" w:hAnsiTheme="majorBidi" w:cstheme="majorBidi"/>
          <w:color w:val="000000"/>
          <w:sz w:val="24"/>
          <w:szCs w:val="24"/>
        </w:rPr>
        <w:t xml:space="preserve"> H, </w:t>
      </w:r>
      <w:proofErr w:type="spellStart"/>
      <w:r>
        <w:rPr>
          <w:rFonts w:asciiTheme="majorBidi" w:eastAsia="Times New Roman" w:hAnsiTheme="majorBidi" w:cstheme="majorBidi"/>
          <w:color w:val="000000"/>
          <w:sz w:val="24"/>
          <w:szCs w:val="24"/>
        </w:rPr>
        <w:t>Weissenborn</w:t>
      </w:r>
      <w:proofErr w:type="spellEnd"/>
      <w:r>
        <w:rPr>
          <w:rFonts w:asciiTheme="majorBidi" w:eastAsia="Times New Roman" w:hAnsiTheme="majorBidi" w:cstheme="majorBidi"/>
          <w:color w:val="000000"/>
          <w:sz w:val="24"/>
          <w:szCs w:val="24"/>
        </w:rPr>
        <w:t xml:space="preserve"> K, </w:t>
      </w:r>
      <w:proofErr w:type="spellStart"/>
      <w:r>
        <w:rPr>
          <w:rFonts w:asciiTheme="majorBidi" w:eastAsia="Times New Roman" w:hAnsiTheme="majorBidi" w:cstheme="majorBidi"/>
          <w:color w:val="000000"/>
          <w:sz w:val="24"/>
          <w:szCs w:val="24"/>
        </w:rPr>
        <w:t>Prange</w:t>
      </w:r>
      <w:proofErr w:type="spellEnd"/>
      <w:r>
        <w:rPr>
          <w:rFonts w:asciiTheme="majorBidi" w:eastAsia="Times New Roman" w:hAnsiTheme="majorBidi" w:cstheme="majorBidi"/>
          <w:color w:val="000000"/>
          <w:sz w:val="24"/>
          <w:szCs w:val="24"/>
        </w:rPr>
        <w:t xml:space="preserve"> H</w:t>
      </w:r>
      <w:r w:rsidRPr="00333F70">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w:t>
      </w:r>
      <w:r w:rsidRPr="00333F70">
        <w:rPr>
          <w:rFonts w:asciiTheme="majorBidi" w:eastAsia="Times New Roman" w:hAnsiTheme="majorBidi" w:cstheme="majorBidi"/>
          <w:color w:val="000000"/>
          <w:sz w:val="24"/>
          <w:szCs w:val="24"/>
        </w:rPr>
        <w:t>2009</w:t>
      </w:r>
      <w:r>
        <w:rPr>
          <w:rFonts w:asciiTheme="majorBidi" w:eastAsia="Times New Roman" w:hAnsiTheme="majorBidi" w:cstheme="majorBidi"/>
          <w:color w:val="000000"/>
          <w:sz w:val="24"/>
          <w:szCs w:val="24"/>
        </w:rPr>
        <w:t xml:space="preserve">) </w:t>
      </w:r>
      <w:r w:rsidRPr="00333F70">
        <w:rPr>
          <w:rFonts w:asciiTheme="majorBidi" w:eastAsia="Times New Roman" w:hAnsiTheme="majorBidi" w:cstheme="majorBidi"/>
          <w:color w:val="000000"/>
          <w:sz w:val="24"/>
          <w:szCs w:val="24"/>
        </w:rPr>
        <w:t xml:space="preserve">Recombinant Human Erythropoietin in the Treatment of Acute Ischemic Stroke. </w:t>
      </w:r>
      <w:r w:rsidRPr="00333F70">
        <w:rPr>
          <w:rFonts w:asciiTheme="majorBidi" w:eastAsia="Times New Roman" w:hAnsiTheme="majorBidi" w:cstheme="majorBidi"/>
          <w:i/>
          <w:iCs/>
          <w:color w:val="000000"/>
          <w:sz w:val="24"/>
          <w:szCs w:val="24"/>
        </w:rPr>
        <w:t>Stroke</w:t>
      </w:r>
      <w:r w:rsidRPr="00333F70">
        <w:rPr>
          <w:rFonts w:asciiTheme="majorBidi" w:eastAsia="Times New Roman" w:hAnsiTheme="majorBidi" w:cstheme="majorBidi"/>
          <w:color w:val="000000"/>
          <w:sz w:val="24"/>
          <w:szCs w:val="24"/>
        </w:rPr>
        <w:t xml:space="preserve"> 40: e647-e656</w:t>
      </w:r>
    </w:p>
    <w:p w:rsidR="00B21BA3" w:rsidRPr="00333F70" w:rsidRDefault="00B21BA3" w:rsidP="00B21BA3">
      <w:pPr>
        <w:pStyle w:val="ListParagraph"/>
        <w:widowControl/>
        <w:numPr>
          <w:ilvl w:val="0"/>
          <w:numId w:val="3"/>
        </w:numPr>
        <w:spacing w:before="0" w:line="240" w:lineRule="auto"/>
        <w:contextualSpacing/>
        <w:rPr>
          <w:rFonts w:asciiTheme="majorBidi" w:eastAsia="Times New Roman" w:hAnsiTheme="majorBidi" w:cstheme="majorBidi"/>
          <w:color w:val="000000"/>
          <w:sz w:val="24"/>
          <w:szCs w:val="24"/>
        </w:rPr>
      </w:pPr>
      <w:proofErr w:type="spellStart"/>
      <w:r w:rsidRPr="00333F70">
        <w:rPr>
          <w:rFonts w:asciiTheme="majorBidi" w:eastAsia="Times New Roman" w:hAnsiTheme="majorBidi" w:cstheme="majorBidi"/>
          <w:color w:val="000000"/>
          <w:sz w:val="24"/>
          <w:szCs w:val="24"/>
        </w:rPr>
        <w:t>Elmahdy</w:t>
      </w:r>
      <w:proofErr w:type="spellEnd"/>
      <w:r w:rsidRPr="00333F70">
        <w:rPr>
          <w:rFonts w:asciiTheme="majorBidi" w:eastAsia="Times New Roman" w:hAnsiTheme="majorBidi" w:cstheme="majorBidi"/>
          <w:color w:val="000000"/>
          <w:sz w:val="24"/>
          <w:szCs w:val="24"/>
        </w:rPr>
        <w:t xml:space="preserve"> H, El-</w:t>
      </w:r>
      <w:proofErr w:type="spellStart"/>
      <w:r>
        <w:rPr>
          <w:rFonts w:asciiTheme="majorBidi" w:eastAsia="Times New Roman" w:hAnsiTheme="majorBidi" w:cstheme="majorBidi"/>
          <w:color w:val="000000"/>
          <w:sz w:val="24"/>
          <w:szCs w:val="24"/>
        </w:rPr>
        <w:t>Mashad</w:t>
      </w:r>
      <w:proofErr w:type="spellEnd"/>
      <w:r>
        <w:rPr>
          <w:rFonts w:asciiTheme="majorBidi" w:eastAsia="Times New Roman" w:hAnsiTheme="majorBidi" w:cstheme="majorBidi"/>
          <w:color w:val="000000"/>
          <w:sz w:val="24"/>
          <w:szCs w:val="24"/>
        </w:rPr>
        <w:t xml:space="preserve"> </w:t>
      </w:r>
      <w:proofErr w:type="gramStart"/>
      <w:r>
        <w:rPr>
          <w:rFonts w:asciiTheme="majorBidi" w:eastAsia="Times New Roman" w:hAnsiTheme="majorBidi" w:cstheme="majorBidi"/>
          <w:color w:val="000000"/>
          <w:sz w:val="24"/>
          <w:szCs w:val="24"/>
        </w:rPr>
        <w:t>A</w:t>
      </w:r>
      <w:proofErr w:type="gramEnd"/>
      <w:r>
        <w:rPr>
          <w:rFonts w:asciiTheme="majorBidi" w:eastAsia="Times New Roman" w:hAnsiTheme="majorBidi" w:cstheme="majorBidi"/>
          <w:color w:val="000000"/>
          <w:sz w:val="24"/>
          <w:szCs w:val="24"/>
        </w:rPr>
        <w:t xml:space="preserve"> R, El-</w:t>
      </w:r>
      <w:proofErr w:type="spellStart"/>
      <w:r>
        <w:rPr>
          <w:rFonts w:asciiTheme="majorBidi" w:eastAsia="Times New Roman" w:hAnsiTheme="majorBidi" w:cstheme="majorBidi"/>
          <w:color w:val="000000"/>
          <w:sz w:val="24"/>
          <w:szCs w:val="24"/>
        </w:rPr>
        <w:t>Bahrawy</w:t>
      </w:r>
      <w:proofErr w:type="spellEnd"/>
      <w:r>
        <w:rPr>
          <w:rFonts w:asciiTheme="majorBidi" w:eastAsia="Times New Roman" w:hAnsiTheme="majorBidi" w:cstheme="majorBidi"/>
          <w:color w:val="000000"/>
          <w:sz w:val="24"/>
          <w:szCs w:val="24"/>
        </w:rPr>
        <w:t xml:space="preserve"> H, et al (</w:t>
      </w:r>
      <w:r w:rsidRPr="00333F70">
        <w:rPr>
          <w:rFonts w:asciiTheme="majorBidi" w:eastAsia="Times New Roman" w:hAnsiTheme="majorBidi" w:cstheme="majorBidi"/>
          <w:color w:val="000000"/>
          <w:sz w:val="24"/>
          <w:szCs w:val="24"/>
        </w:rPr>
        <w:t>2010</w:t>
      </w:r>
      <w:r>
        <w:rPr>
          <w:rFonts w:asciiTheme="majorBidi" w:eastAsia="Times New Roman" w:hAnsiTheme="majorBidi" w:cstheme="majorBidi"/>
          <w:color w:val="000000"/>
          <w:sz w:val="24"/>
          <w:szCs w:val="24"/>
        </w:rPr>
        <w:t>)</w:t>
      </w:r>
      <w:r w:rsidRPr="00333F70">
        <w:rPr>
          <w:rFonts w:asciiTheme="majorBidi" w:eastAsia="Times New Roman" w:hAnsiTheme="majorBidi" w:cstheme="majorBidi"/>
          <w:color w:val="000000"/>
          <w:sz w:val="24"/>
          <w:szCs w:val="24"/>
        </w:rPr>
        <w:t xml:space="preserve"> Human recombinant erythropoietin in asphyxia </w:t>
      </w:r>
      <w:proofErr w:type="spellStart"/>
      <w:r w:rsidRPr="00333F70">
        <w:rPr>
          <w:rFonts w:asciiTheme="majorBidi" w:eastAsia="Times New Roman" w:hAnsiTheme="majorBidi" w:cstheme="majorBidi"/>
          <w:color w:val="000000"/>
          <w:sz w:val="24"/>
          <w:szCs w:val="24"/>
        </w:rPr>
        <w:t>neonatorum</w:t>
      </w:r>
      <w:proofErr w:type="spellEnd"/>
      <w:r w:rsidRPr="00333F70">
        <w:rPr>
          <w:rFonts w:asciiTheme="majorBidi" w:eastAsia="Times New Roman" w:hAnsiTheme="majorBidi" w:cstheme="majorBidi"/>
          <w:color w:val="000000"/>
          <w:sz w:val="24"/>
          <w:szCs w:val="24"/>
        </w:rPr>
        <w:t xml:space="preserve">: Pilot trial. </w:t>
      </w:r>
      <w:r w:rsidRPr="00333F70">
        <w:rPr>
          <w:rFonts w:asciiTheme="majorBidi" w:eastAsia="Times New Roman" w:hAnsiTheme="majorBidi" w:cstheme="majorBidi"/>
          <w:i/>
          <w:iCs/>
          <w:color w:val="000000"/>
          <w:sz w:val="24"/>
          <w:szCs w:val="24"/>
        </w:rPr>
        <w:t>Pediatrics</w:t>
      </w:r>
      <w:r w:rsidRPr="00333F70">
        <w:rPr>
          <w:rFonts w:asciiTheme="majorBidi" w:eastAsia="Times New Roman" w:hAnsiTheme="majorBidi" w:cstheme="majorBidi"/>
          <w:color w:val="000000"/>
          <w:sz w:val="24"/>
          <w:szCs w:val="24"/>
        </w:rPr>
        <w:t xml:space="preserve"> 125, doi:10.1542/peds.2009-2268.</w:t>
      </w:r>
    </w:p>
    <w:p w:rsidR="009C048D" w:rsidRPr="00333F70" w:rsidRDefault="009C048D" w:rsidP="009C048D">
      <w:pPr>
        <w:pStyle w:val="ListParagraph"/>
        <w:widowControl/>
        <w:numPr>
          <w:ilvl w:val="0"/>
          <w:numId w:val="3"/>
        </w:numPr>
        <w:spacing w:before="0" w:line="240" w:lineRule="auto"/>
        <w:contextualSpacing/>
        <w:rPr>
          <w:rFonts w:asciiTheme="majorBidi" w:eastAsia="Times New Roman" w:hAnsiTheme="majorBidi" w:cstheme="majorBidi"/>
          <w:color w:val="000000"/>
          <w:sz w:val="24"/>
          <w:szCs w:val="24"/>
        </w:rPr>
      </w:pPr>
      <w:r w:rsidRPr="00333F70">
        <w:rPr>
          <w:rFonts w:asciiTheme="majorBidi" w:eastAsia="Times New Roman" w:hAnsiTheme="majorBidi" w:cstheme="majorBidi"/>
          <w:color w:val="000000"/>
          <w:sz w:val="24"/>
          <w:szCs w:val="24"/>
        </w:rPr>
        <w:t xml:space="preserve">Wu Y W, </w:t>
      </w:r>
      <w:proofErr w:type="spellStart"/>
      <w:r w:rsidRPr="00333F70">
        <w:rPr>
          <w:rFonts w:asciiTheme="majorBidi" w:eastAsia="Times New Roman" w:hAnsiTheme="majorBidi" w:cstheme="majorBidi"/>
          <w:color w:val="000000"/>
          <w:sz w:val="24"/>
          <w:szCs w:val="24"/>
        </w:rPr>
        <w:t>Mathur</w:t>
      </w:r>
      <w:proofErr w:type="spellEnd"/>
      <w:r w:rsidRPr="00333F70">
        <w:rPr>
          <w:rFonts w:asciiTheme="majorBidi" w:eastAsia="Times New Roman" w:hAnsiTheme="majorBidi" w:cstheme="majorBidi"/>
          <w:color w:val="000000"/>
          <w:sz w:val="24"/>
          <w:szCs w:val="24"/>
        </w:rPr>
        <w:t xml:space="preserve"> A M, Chang T.</w:t>
      </w:r>
      <w:r>
        <w:rPr>
          <w:rFonts w:asciiTheme="majorBidi" w:eastAsia="Times New Roman" w:hAnsiTheme="majorBidi" w:cstheme="majorBidi"/>
          <w:color w:val="000000"/>
          <w:sz w:val="24"/>
          <w:szCs w:val="24"/>
        </w:rPr>
        <w:t xml:space="preserve"> (2016)</w:t>
      </w:r>
      <w:r w:rsidRPr="00333F70">
        <w:rPr>
          <w:rFonts w:asciiTheme="majorBidi" w:eastAsia="Times New Roman" w:hAnsiTheme="majorBidi" w:cstheme="majorBidi"/>
          <w:color w:val="000000"/>
          <w:sz w:val="24"/>
          <w:szCs w:val="24"/>
        </w:rPr>
        <w:t xml:space="preserve"> High Dose Erythropoietin and Hypothermia for Hypoxic-Ischemic Encephalopathy: A Phase II Trial. </w:t>
      </w:r>
      <w:r w:rsidRPr="00333F70">
        <w:rPr>
          <w:rFonts w:asciiTheme="majorBidi" w:eastAsia="Times New Roman" w:hAnsiTheme="majorBidi" w:cstheme="majorBidi"/>
          <w:i/>
          <w:iCs/>
          <w:color w:val="000000"/>
          <w:sz w:val="24"/>
          <w:szCs w:val="24"/>
        </w:rPr>
        <w:t>Pediatrics</w:t>
      </w:r>
      <w:r w:rsidRPr="00333F70">
        <w:rPr>
          <w:rFonts w:asciiTheme="majorBidi" w:eastAsia="Times New Roman" w:hAnsiTheme="majorBidi" w:cstheme="majorBidi"/>
          <w:color w:val="000000"/>
          <w:sz w:val="24"/>
          <w:szCs w:val="24"/>
        </w:rPr>
        <w:t>. 137(6): e20160191. doi:10.1542/ped.2016-191</w:t>
      </w:r>
    </w:p>
    <w:p w:rsidR="009C048D" w:rsidRPr="005F360D" w:rsidRDefault="009C048D" w:rsidP="009C048D">
      <w:pPr>
        <w:pStyle w:val="ListParagraph"/>
        <w:widowControl/>
        <w:numPr>
          <w:ilvl w:val="0"/>
          <w:numId w:val="3"/>
        </w:numPr>
        <w:spacing w:before="0" w:line="240" w:lineRule="auto"/>
        <w:contextualSpacing/>
        <w:rPr>
          <w:rFonts w:asciiTheme="majorBidi" w:eastAsia="Times New Roman" w:hAnsiTheme="majorBidi" w:cstheme="majorBidi"/>
          <w:color w:val="000000"/>
          <w:sz w:val="24"/>
          <w:szCs w:val="24"/>
        </w:rPr>
      </w:pPr>
      <w:r w:rsidRPr="00CD5817">
        <w:rPr>
          <w:rFonts w:asciiTheme="majorBidi" w:eastAsia="Times New Roman" w:hAnsiTheme="majorBidi" w:cstheme="majorBidi"/>
          <w:color w:val="000000"/>
          <w:sz w:val="24"/>
          <w:szCs w:val="24"/>
        </w:rPr>
        <w:t xml:space="preserve">Torun YA, </w:t>
      </w:r>
      <w:proofErr w:type="spellStart"/>
      <w:r w:rsidRPr="00CD5817">
        <w:rPr>
          <w:rFonts w:asciiTheme="majorBidi" w:eastAsia="Times New Roman" w:hAnsiTheme="majorBidi" w:cstheme="majorBidi"/>
          <w:color w:val="000000"/>
          <w:sz w:val="24"/>
          <w:szCs w:val="24"/>
        </w:rPr>
        <w:t>Ozdemir</w:t>
      </w:r>
      <w:proofErr w:type="spellEnd"/>
      <w:r w:rsidRPr="00CD5817">
        <w:rPr>
          <w:rFonts w:asciiTheme="majorBidi" w:eastAsia="Times New Roman" w:hAnsiTheme="majorBidi" w:cstheme="majorBidi"/>
          <w:color w:val="000000"/>
          <w:sz w:val="24"/>
          <w:szCs w:val="24"/>
        </w:rPr>
        <w:t xml:space="preserve"> M A, </w:t>
      </w:r>
      <w:proofErr w:type="spellStart"/>
      <w:r w:rsidRPr="00CD5817">
        <w:rPr>
          <w:rFonts w:asciiTheme="majorBidi" w:eastAsia="Times New Roman" w:hAnsiTheme="majorBidi" w:cstheme="majorBidi"/>
          <w:color w:val="000000"/>
          <w:sz w:val="24"/>
          <w:szCs w:val="24"/>
        </w:rPr>
        <w:t>Ulger</w:t>
      </w:r>
      <w:proofErr w:type="spellEnd"/>
      <w:r w:rsidRPr="00CD5817">
        <w:rPr>
          <w:rFonts w:asciiTheme="majorBidi" w:eastAsia="Times New Roman" w:hAnsiTheme="majorBidi" w:cstheme="majorBidi"/>
          <w:color w:val="000000"/>
          <w:sz w:val="24"/>
          <w:szCs w:val="24"/>
        </w:rPr>
        <w:t xml:space="preserve"> H, et al</w:t>
      </w:r>
      <w:r>
        <w:rPr>
          <w:rFonts w:asciiTheme="majorBidi" w:eastAsia="Times New Roman" w:hAnsiTheme="majorBidi" w:cstheme="majorBidi"/>
          <w:color w:val="000000"/>
          <w:sz w:val="24"/>
          <w:szCs w:val="24"/>
        </w:rPr>
        <w:t xml:space="preserve"> (</w:t>
      </w:r>
      <w:r w:rsidRPr="005F360D">
        <w:rPr>
          <w:rFonts w:asciiTheme="majorBidi" w:eastAsia="Times New Roman" w:hAnsiTheme="majorBidi" w:cstheme="majorBidi"/>
          <w:color w:val="000000"/>
          <w:sz w:val="24"/>
          <w:szCs w:val="24"/>
        </w:rPr>
        <w:t>2014</w:t>
      </w:r>
      <w:r>
        <w:rPr>
          <w:rFonts w:asciiTheme="majorBidi" w:eastAsia="Times New Roman" w:hAnsiTheme="majorBidi" w:cstheme="majorBidi"/>
          <w:color w:val="000000"/>
          <w:sz w:val="24"/>
          <w:szCs w:val="24"/>
        </w:rPr>
        <w:t>)</w:t>
      </w:r>
      <w:r w:rsidRPr="00CD5817">
        <w:rPr>
          <w:rFonts w:asciiTheme="majorBidi" w:eastAsia="Times New Roman" w:hAnsiTheme="majorBidi" w:cstheme="majorBidi"/>
          <w:color w:val="000000"/>
          <w:sz w:val="24"/>
          <w:szCs w:val="24"/>
        </w:rPr>
        <w:t xml:space="preserve"> Erythropoietin improves brain development in</w:t>
      </w:r>
      <w:r w:rsidRPr="005F360D">
        <w:rPr>
          <w:rFonts w:asciiTheme="majorBidi" w:eastAsia="Times New Roman" w:hAnsiTheme="majorBidi" w:cstheme="majorBidi"/>
          <w:color w:val="000000"/>
          <w:sz w:val="24"/>
          <w:szCs w:val="24"/>
        </w:rPr>
        <w:t xml:space="preserve"> </w:t>
      </w:r>
      <w:r w:rsidRPr="005F360D">
        <w:rPr>
          <w:rFonts w:asciiTheme="majorBidi" w:eastAsia="Times New Roman" w:hAnsiTheme="majorBidi" w:cstheme="majorBidi"/>
          <w:color w:val="000000"/>
          <w:sz w:val="24"/>
          <w:szCs w:val="24"/>
        </w:rPr>
        <w:lastRenderedPageBreak/>
        <w:t xml:space="preserve">short-term hypoxia in rat embryo cultures. </w:t>
      </w:r>
      <w:r w:rsidRPr="005F360D">
        <w:rPr>
          <w:rFonts w:asciiTheme="majorBidi" w:eastAsia="Times New Roman" w:hAnsiTheme="majorBidi" w:cstheme="majorBidi"/>
          <w:i/>
          <w:iCs/>
          <w:color w:val="000000"/>
          <w:sz w:val="24"/>
          <w:szCs w:val="24"/>
        </w:rPr>
        <w:t>Brain Dev</w:t>
      </w:r>
      <w:r w:rsidRPr="005F360D">
        <w:rPr>
          <w:rFonts w:asciiTheme="majorBidi" w:eastAsia="Times New Roman" w:hAnsiTheme="majorBidi" w:cstheme="majorBidi"/>
          <w:color w:val="000000"/>
          <w:sz w:val="24"/>
          <w:szCs w:val="24"/>
        </w:rPr>
        <w:t xml:space="preserve">. 36(10): 864-869 </w:t>
      </w:r>
    </w:p>
    <w:p w:rsidR="009C048D" w:rsidRPr="005F360D" w:rsidRDefault="005973B9" w:rsidP="009C048D">
      <w:pPr>
        <w:pStyle w:val="ListParagraph"/>
        <w:widowControl/>
        <w:spacing w:before="0" w:line="240" w:lineRule="auto"/>
        <w:ind w:left="720" w:firstLine="0"/>
        <w:contextualSpacing/>
        <w:textAlignment w:val="center"/>
        <w:rPr>
          <w:rFonts w:asciiTheme="majorBidi" w:eastAsia="Times New Roman" w:hAnsiTheme="majorBidi" w:cstheme="majorBidi"/>
          <w:color w:val="000000"/>
          <w:sz w:val="24"/>
          <w:szCs w:val="24"/>
        </w:rPr>
      </w:pPr>
      <w:r>
        <w:t xml:space="preserve">5. </w:t>
      </w:r>
      <w:proofErr w:type="spellStart"/>
      <w:r w:rsidR="009C048D" w:rsidRPr="005F360D">
        <w:rPr>
          <w:rFonts w:asciiTheme="majorBidi" w:hAnsiTheme="majorBidi" w:cstheme="majorBidi"/>
          <w:color w:val="000000"/>
          <w:sz w:val="24"/>
          <w:szCs w:val="24"/>
        </w:rPr>
        <w:t>Bogoslovsky</w:t>
      </w:r>
      <w:proofErr w:type="spellEnd"/>
      <w:r w:rsidR="009C048D" w:rsidRPr="005F360D">
        <w:rPr>
          <w:rFonts w:asciiTheme="majorBidi" w:hAnsiTheme="majorBidi" w:cstheme="majorBidi"/>
          <w:color w:val="000000"/>
          <w:sz w:val="24"/>
          <w:szCs w:val="24"/>
        </w:rPr>
        <w:t xml:space="preserve"> T, </w:t>
      </w:r>
      <w:proofErr w:type="spellStart"/>
      <w:r w:rsidR="009C048D" w:rsidRPr="005F360D">
        <w:rPr>
          <w:rFonts w:asciiTheme="majorBidi" w:hAnsiTheme="majorBidi" w:cstheme="majorBidi"/>
          <w:color w:val="000000"/>
          <w:sz w:val="24"/>
          <w:szCs w:val="24"/>
        </w:rPr>
        <w:t>Bernstock</w:t>
      </w:r>
      <w:proofErr w:type="spellEnd"/>
      <w:r w:rsidR="009C048D" w:rsidRPr="005F360D">
        <w:rPr>
          <w:rFonts w:asciiTheme="majorBidi" w:hAnsiTheme="majorBidi" w:cstheme="majorBidi"/>
          <w:color w:val="000000"/>
          <w:sz w:val="24"/>
          <w:szCs w:val="24"/>
        </w:rPr>
        <w:t xml:space="preserve"> JD, Kenney K, et al: Erythropoietin and its derivatives: mechanism of </w:t>
      </w:r>
      <w:proofErr w:type="spellStart"/>
      <w:r w:rsidR="009C048D" w:rsidRPr="005F360D">
        <w:rPr>
          <w:rFonts w:asciiTheme="majorBidi" w:hAnsiTheme="majorBidi" w:cstheme="majorBidi"/>
          <w:color w:val="000000"/>
          <w:sz w:val="24"/>
          <w:szCs w:val="24"/>
        </w:rPr>
        <w:t>neuroprotection</w:t>
      </w:r>
      <w:proofErr w:type="spellEnd"/>
      <w:r w:rsidR="009C048D" w:rsidRPr="005F360D">
        <w:rPr>
          <w:rFonts w:asciiTheme="majorBidi" w:hAnsiTheme="majorBidi" w:cstheme="majorBidi"/>
          <w:color w:val="000000"/>
          <w:sz w:val="24"/>
          <w:szCs w:val="24"/>
        </w:rPr>
        <w:t xml:space="preserve"> and challenges </w:t>
      </w:r>
      <w:r w:rsidR="009C048D" w:rsidRPr="005F360D">
        <w:rPr>
          <w:rFonts w:asciiTheme="majorBidi" w:hAnsiTheme="majorBidi" w:cstheme="majorBidi"/>
          <w:color w:val="000000"/>
          <w:sz w:val="24"/>
          <w:szCs w:val="24"/>
        </w:rPr>
        <w:lastRenderedPageBreak/>
        <w:t>in clinical translation.</w:t>
      </w:r>
      <w:r w:rsidR="009C048D" w:rsidRPr="005F360D">
        <w:rPr>
          <w:rFonts w:asciiTheme="majorBidi" w:eastAsia="Times New Roman" w:hAnsiTheme="majorBidi" w:cstheme="majorBidi"/>
          <w:i/>
          <w:iCs/>
          <w:color w:val="000000"/>
          <w:sz w:val="24"/>
          <w:szCs w:val="24"/>
        </w:rPr>
        <w:t xml:space="preserve"> 4</w:t>
      </w:r>
      <w:r w:rsidR="009C048D" w:rsidRPr="005F360D">
        <w:rPr>
          <w:rFonts w:asciiTheme="majorBidi" w:eastAsia="Times New Roman" w:hAnsiTheme="majorBidi" w:cstheme="majorBidi"/>
          <w:i/>
          <w:iCs/>
          <w:color w:val="000000"/>
          <w:sz w:val="24"/>
          <w:szCs w:val="24"/>
          <w:vertAlign w:val="superscript"/>
        </w:rPr>
        <w:t>th</w:t>
      </w:r>
      <w:r w:rsidR="009C048D" w:rsidRPr="005F360D">
        <w:rPr>
          <w:rFonts w:asciiTheme="majorBidi" w:eastAsia="Times New Roman" w:hAnsiTheme="majorBidi" w:cstheme="majorBidi"/>
          <w:i/>
          <w:iCs/>
          <w:color w:val="000000"/>
          <w:sz w:val="24"/>
          <w:szCs w:val="24"/>
        </w:rPr>
        <w:t xml:space="preserve"> chapter: New Therapeutics for Traumatic Brain Injury</w:t>
      </w:r>
      <w:r w:rsidR="009C048D" w:rsidRPr="005F360D">
        <w:rPr>
          <w:rFonts w:asciiTheme="majorBidi" w:eastAsia="Times New Roman" w:hAnsiTheme="majorBidi" w:cstheme="majorBidi"/>
          <w:color w:val="000000"/>
          <w:sz w:val="24"/>
          <w:szCs w:val="24"/>
        </w:rPr>
        <w:t xml:space="preserve">, </w:t>
      </w:r>
      <w:r w:rsidR="009C048D" w:rsidRPr="005F360D">
        <w:rPr>
          <w:rFonts w:asciiTheme="majorBidi" w:eastAsia="Times New Roman" w:hAnsiTheme="majorBidi" w:cstheme="majorBidi"/>
          <w:i/>
          <w:iCs/>
          <w:color w:val="000000"/>
          <w:sz w:val="24"/>
          <w:szCs w:val="24"/>
        </w:rPr>
        <w:t>2017</w:t>
      </w:r>
      <w:r w:rsidR="009C048D" w:rsidRPr="005F360D">
        <w:rPr>
          <w:rFonts w:asciiTheme="majorBidi" w:eastAsia="Times New Roman" w:hAnsiTheme="majorBidi" w:cstheme="majorBidi"/>
          <w:color w:val="000000"/>
          <w:sz w:val="24"/>
          <w:szCs w:val="24"/>
        </w:rPr>
        <w:t>, 4</w:t>
      </w:r>
      <w:r w:rsidR="009C048D" w:rsidRPr="005F360D">
        <w:rPr>
          <w:rFonts w:asciiTheme="majorBidi" w:eastAsia="Times New Roman" w:hAnsiTheme="majorBidi" w:cstheme="majorBidi"/>
          <w:color w:val="000000"/>
          <w:sz w:val="24"/>
          <w:szCs w:val="24"/>
          <w:vertAlign w:val="superscript"/>
        </w:rPr>
        <w:t>th</w:t>
      </w:r>
      <w:r w:rsidR="009C048D" w:rsidRPr="005F360D">
        <w:rPr>
          <w:rFonts w:asciiTheme="majorBidi" w:eastAsia="Times New Roman" w:hAnsiTheme="majorBidi" w:cstheme="majorBidi"/>
          <w:color w:val="000000"/>
          <w:sz w:val="24"/>
          <w:szCs w:val="24"/>
        </w:rPr>
        <w:t xml:space="preserve"> </w:t>
      </w:r>
      <w:proofErr w:type="spellStart"/>
      <w:r w:rsidR="009C048D" w:rsidRPr="005F360D">
        <w:rPr>
          <w:rFonts w:asciiTheme="majorBidi" w:eastAsia="Times New Roman" w:hAnsiTheme="majorBidi" w:cstheme="majorBidi"/>
          <w:color w:val="000000"/>
          <w:sz w:val="24"/>
          <w:szCs w:val="24"/>
        </w:rPr>
        <w:t>chapter.Pages</w:t>
      </w:r>
      <w:proofErr w:type="spellEnd"/>
      <w:r w:rsidR="009C048D" w:rsidRPr="005F360D">
        <w:rPr>
          <w:rFonts w:asciiTheme="majorBidi" w:eastAsia="Times New Roman" w:hAnsiTheme="majorBidi" w:cstheme="majorBidi"/>
          <w:color w:val="000000"/>
          <w:sz w:val="24"/>
          <w:szCs w:val="24"/>
        </w:rPr>
        <w:t xml:space="preserve"> 57-77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D292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007C5B">
      <w:pPr>
        <w:spacing w:before="92"/>
        <w:ind w:right="4234"/>
        <w:rPr>
          <w:rFonts w:ascii="Arial"/>
        </w:rPr>
      </w:pPr>
      <w:r>
        <w:rPr>
          <w:noProof/>
        </w:rPr>
        <w:t xml:space="preserve">              </w:t>
      </w:r>
      <w:r>
        <w:rPr>
          <w:noProof/>
        </w:rPr>
        <w:drawing>
          <wp:inline distT="0" distB="0" distL="0" distR="0" wp14:anchorId="1B650C0E" wp14:editId="0E8C3C7F">
            <wp:extent cx="594854"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4854" cy="625069"/>
                    </a:xfrm>
                    <a:prstGeom prst="rect">
                      <a:avLst/>
                    </a:prstGeom>
                    <a:noFill/>
                    <a:ln>
                      <a:noFill/>
                    </a:ln>
                  </pic:spPr>
                </pic:pic>
              </a:graphicData>
            </a:graphic>
          </wp:inline>
        </w:drawing>
      </w:r>
      <w:r w:rsidR="000642C6">
        <w:rPr>
          <w:noProof/>
        </w:rPr>
        <w:t xml:space="preserve">    </w:t>
      </w:r>
    </w:p>
    <w:p w:rsidR="00007C5B" w:rsidRPr="00526E07" w:rsidRDefault="00007C5B" w:rsidP="00007C5B">
      <w:pPr>
        <w:spacing w:line="276" w:lineRule="auto"/>
        <w:jc w:val="both"/>
        <w:rPr>
          <w:rFonts w:asciiTheme="majorBidi" w:hAnsiTheme="majorBidi" w:cstheme="majorBidi"/>
          <w:sz w:val="24"/>
          <w:szCs w:val="24"/>
          <w:u w:val="single"/>
        </w:rPr>
      </w:pPr>
      <w:r w:rsidRPr="00526E07">
        <w:rPr>
          <w:rFonts w:asciiTheme="majorBidi" w:hAnsiTheme="majorBidi" w:cstheme="majorBidi"/>
          <w:sz w:val="24"/>
          <w:szCs w:val="24"/>
          <w:u w:val="single"/>
        </w:rPr>
        <w:t>BIOGRAPHY</w:t>
      </w:r>
    </w:p>
    <w:p w:rsidR="00007C5B" w:rsidRPr="009F35F3" w:rsidRDefault="00007C5B" w:rsidP="00007C5B">
      <w:pPr>
        <w:spacing w:line="276" w:lineRule="auto"/>
        <w:jc w:val="both"/>
        <w:rPr>
          <w:rFonts w:asciiTheme="majorBidi" w:hAnsiTheme="majorBidi" w:cstheme="majorBidi"/>
          <w:sz w:val="24"/>
          <w:szCs w:val="24"/>
        </w:rPr>
      </w:pPr>
      <w:r w:rsidRPr="009F35F3">
        <w:rPr>
          <w:rFonts w:asciiTheme="majorBidi" w:hAnsiTheme="majorBidi" w:cstheme="majorBidi"/>
          <w:sz w:val="24"/>
          <w:szCs w:val="24"/>
        </w:rPr>
        <w:t xml:space="preserve">Dr. Reza </w:t>
      </w:r>
      <w:proofErr w:type="spellStart"/>
      <w:r w:rsidRPr="009F35F3">
        <w:rPr>
          <w:rFonts w:asciiTheme="majorBidi" w:hAnsiTheme="majorBidi" w:cstheme="majorBidi"/>
          <w:sz w:val="24"/>
          <w:szCs w:val="24"/>
        </w:rPr>
        <w:t>Nejat</w:t>
      </w:r>
      <w:proofErr w:type="spellEnd"/>
      <w:r w:rsidRPr="009F35F3">
        <w:rPr>
          <w:rFonts w:asciiTheme="majorBidi" w:hAnsiTheme="majorBidi" w:cstheme="majorBidi"/>
          <w:sz w:val="24"/>
          <w:szCs w:val="24"/>
        </w:rPr>
        <w:t xml:space="preserve"> is a board certified A</w:t>
      </w:r>
      <w:r>
        <w:rPr>
          <w:rFonts w:asciiTheme="majorBidi" w:hAnsiTheme="majorBidi" w:cstheme="majorBidi"/>
          <w:sz w:val="24"/>
          <w:szCs w:val="24"/>
        </w:rPr>
        <w:t>nesthesiologist and</w:t>
      </w:r>
      <w:r w:rsidRPr="009F35F3">
        <w:rPr>
          <w:rFonts w:asciiTheme="majorBidi" w:hAnsiTheme="majorBidi" w:cstheme="majorBidi"/>
          <w:sz w:val="24"/>
          <w:szCs w:val="24"/>
        </w:rPr>
        <w:t xml:space="preserve"> FCCM</w:t>
      </w:r>
      <w:r>
        <w:rPr>
          <w:rFonts w:asciiTheme="majorBidi" w:hAnsiTheme="majorBidi" w:cstheme="majorBidi"/>
          <w:sz w:val="24"/>
          <w:szCs w:val="24"/>
        </w:rPr>
        <w:t>.</w:t>
      </w:r>
      <w:r w:rsidRPr="009F35F3">
        <w:rPr>
          <w:rFonts w:asciiTheme="majorBidi" w:hAnsiTheme="majorBidi" w:cstheme="majorBidi"/>
          <w:sz w:val="24"/>
          <w:szCs w:val="24"/>
        </w:rPr>
        <w:t xml:space="preserve"> </w:t>
      </w:r>
      <w:r>
        <w:rPr>
          <w:rFonts w:asciiTheme="majorBidi" w:hAnsiTheme="majorBidi" w:cstheme="majorBidi"/>
          <w:sz w:val="24"/>
          <w:szCs w:val="24"/>
        </w:rPr>
        <w:t>After graduating from T</w:t>
      </w:r>
      <w:r w:rsidRPr="009F35F3">
        <w:rPr>
          <w:rFonts w:asciiTheme="majorBidi" w:hAnsiTheme="majorBidi" w:cstheme="majorBidi"/>
          <w:sz w:val="24"/>
          <w:szCs w:val="24"/>
        </w:rPr>
        <w:t xml:space="preserve">ehran University of </w:t>
      </w:r>
      <w:r>
        <w:rPr>
          <w:rFonts w:asciiTheme="majorBidi" w:hAnsiTheme="majorBidi" w:cstheme="majorBidi"/>
          <w:sz w:val="24"/>
          <w:szCs w:val="24"/>
        </w:rPr>
        <w:t>Medical Sciences (TUMS) as a GP, he could achieve the</w:t>
      </w:r>
      <w:r w:rsidRPr="009F35F3">
        <w:rPr>
          <w:rFonts w:asciiTheme="majorBidi" w:hAnsiTheme="majorBidi" w:cstheme="majorBidi"/>
          <w:sz w:val="24"/>
          <w:szCs w:val="24"/>
        </w:rPr>
        <w:t xml:space="preserve"> ECFMG certifi</w:t>
      </w:r>
      <w:r>
        <w:rPr>
          <w:rFonts w:asciiTheme="majorBidi" w:hAnsiTheme="majorBidi" w:cstheme="majorBidi"/>
          <w:sz w:val="24"/>
          <w:szCs w:val="24"/>
        </w:rPr>
        <w:t xml:space="preserve">cation </w:t>
      </w:r>
      <w:r w:rsidRPr="009F35F3">
        <w:rPr>
          <w:rFonts w:asciiTheme="majorBidi" w:hAnsiTheme="majorBidi" w:cstheme="majorBidi"/>
          <w:sz w:val="24"/>
          <w:szCs w:val="24"/>
        </w:rPr>
        <w:t>and</w:t>
      </w:r>
      <w:r>
        <w:rPr>
          <w:rFonts w:asciiTheme="majorBidi" w:hAnsiTheme="majorBidi" w:cstheme="majorBidi"/>
          <w:sz w:val="24"/>
          <w:szCs w:val="24"/>
        </w:rPr>
        <w:t xml:space="preserve"> also</w:t>
      </w:r>
      <w:r w:rsidRPr="009F35F3">
        <w:rPr>
          <w:rFonts w:asciiTheme="majorBidi" w:hAnsiTheme="majorBidi" w:cstheme="majorBidi"/>
          <w:sz w:val="24"/>
          <w:szCs w:val="24"/>
        </w:rPr>
        <w:t xml:space="preserve"> </w:t>
      </w:r>
      <w:r>
        <w:rPr>
          <w:rFonts w:asciiTheme="majorBidi" w:hAnsiTheme="majorBidi" w:cstheme="majorBidi"/>
          <w:sz w:val="24"/>
          <w:szCs w:val="24"/>
        </w:rPr>
        <w:t>board certification in</w:t>
      </w:r>
      <w:r w:rsidRPr="009F35F3">
        <w:rPr>
          <w:rFonts w:asciiTheme="majorBidi" w:hAnsiTheme="majorBidi" w:cstheme="majorBidi"/>
          <w:sz w:val="24"/>
          <w:szCs w:val="24"/>
        </w:rPr>
        <w:t xml:space="preserve"> Anesthesiology from Iran University of Medical Sciences. </w:t>
      </w:r>
      <w:r>
        <w:rPr>
          <w:rFonts w:asciiTheme="majorBidi" w:hAnsiTheme="majorBidi" w:cstheme="majorBidi"/>
          <w:sz w:val="24"/>
          <w:szCs w:val="24"/>
        </w:rPr>
        <w:t>He passed the fe</w:t>
      </w:r>
      <w:r w:rsidRPr="009F35F3">
        <w:rPr>
          <w:rFonts w:asciiTheme="majorBidi" w:hAnsiTheme="majorBidi" w:cstheme="majorBidi"/>
          <w:sz w:val="24"/>
          <w:szCs w:val="24"/>
        </w:rPr>
        <w:t>llowship</w:t>
      </w:r>
      <w:r>
        <w:rPr>
          <w:rFonts w:asciiTheme="majorBidi" w:hAnsiTheme="majorBidi" w:cstheme="majorBidi"/>
          <w:sz w:val="24"/>
          <w:szCs w:val="24"/>
        </w:rPr>
        <w:t xml:space="preserve"> </w:t>
      </w:r>
      <w:proofErr w:type="spellStart"/>
      <w:r>
        <w:rPr>
          <w:rFonts w:asciiTheme="majorBidi" w:hAnsiTheme="majorBidi" w:cstheme="majorBidi"/>
          <w:sz w:val="24"/>
          <w:szCs w:val="24"/>
        </w:rPr>
        <w:t>programme</w:t>
      </w:r>
      <w:proofErr w:type="spellEnd"/>
      <w:r w:rsidRPr="009F35F3">
        <w:rPr>
          <w:rFonts w:asciiTheme="majorBidi" w:hAnsiTheme="majorBidi" w:cstheme="majorBidi"/>
          <w:sz w:val="24"/>
          <w:szCs w:val="24"/>
        </w:rPr>
        <w:t xml:space="preserve"> in Critical Care Medicine at </w:t>
      </w:r>
      <w:proofErr w:type="spellStart"/>
      <w:r w:rsidRPr="009F35F3">
        <w:rPr>
          <w:rFonts w:asciiTheme="majorBidi" w:hAnsiTheme="majorBidi" w:cstheme="majorBidi"/>
          <w:sz w:val="24"/>
          <w:szCs w:val="24"/>
        </w:rPr>
        <w:t>Sina</w:t>
      </w:r>
      <w:proofErr w:type="spellEnd"/>
      <w:r w:rsidRPr="009F35F3">
        <w:rPr>
          <w:rFonts w:asciiTheme="majorBidi" w:hAnsiTheme="majorBidi" w:cstheme="majorBidi"/>
          <w:sz w:val="24"/>
          <w:szCs w:val="24"/>
        </w:rPr>
        <w:t xml:space="preserve"> Hospital, TUMS</w:t>
      </w:r>
      <w:r>
        <w:rPr>
          <w:rFonts w:asciiTheme="majorBidi" w:hAnsiTheme="majorBidi" w:cstheme="majorBidi"/>
          <w:sz w:val="24"/>
          <w:szCs w:val="24"/>
        </w:rPr>
        <w:t>. During this period he was inclined to study</w:t>
      </w:r>
      <w:r w:rsidRPr="009F35F3">
        <w:rPr>
          <w:rFonts w:asciiTheme="majorBidi" w:hAnsiTheme="majorBidi" w:cstheme="majorBidi"/>
          <w:sz w:val="24"/>
          <w:szCs w:val="24"/>
        </w:rPr>
        <w:t xml:space="preserve"> mole</w:t>
      </w:r>
      <w:r>
        <w:rPr>
          <w:rFonts w:asciiTheme="majorBidi" w:hAnsiTheme="majorBidi" w:cstheme="majorBidi"/>
          <w:sz w:val="24"/>
          <w:szCs w:val="24"/>
        </w:rPr>
        <w:t>cular medicine in the field of</w:t>
      </w:r>
      <w:r w:rsidRPr="009F35F3">
        <w:rPr>
          <w:rFonts w:asciiTheme="majorBidi" w:hAnsiTheme="majorBidi" w:cstheme="majorBidi"/>
          <w:sz w:val="24"/>
          <w:szCs w:val="24"/>
        </w:rPr>
        <w:t xml:space="preserve"> sepsis</w:t>
      </w:r>
      <w:r>
        <w:rPr>
          <w:rFonts w:asciiTheme="majorBidi" w:hAnsiTheme="majorBidi" w:cstheme="majorBidi"/>
          <w:sz w:val="24"/>
          <w:szCs w:val="24"/>
        </w:rPr>
        <w:t xml:space="preserve">, </w:t>
      </w:r>
      <w:r w:rsidRPr="009F35F3">
        <w:rPr>
          <w:rFonts w:asciiTheme="majorBidi" w:hAnsiTheme="majorBidi" w:cstheme="majorBidi"/>
          <w:sz w:val="24"/>
          <w:szCs w:val="24"/>
        </w:rPr>
        <w:t>acute heart failure</w:t>
      </w:r>
      <w:r>
        <w:rPr>
          <w:rFonts w:asciiTheme="majorBidi" w:hAnsiTheme="majorBidi" w:cstheme="majorBidi"/>
          <w:sz w:val="24"/>
          <w:szCs w:val="24"/>
        </w:rPr>
        <w:t xml:space="preserve"> and </w:t>
      </w:r>
      <w:proofErr w:type="spellStart"/>
      <w:r>
        <w:rPr>
          <w:rFonts w:asciiTheme="majorBidi" w:hAnsiTheme="majorBidi" w:cstheme="majorBidi"/>
          <w:sz w:val="24"/>
          <w:szCs w:val="24"/>
        </w:rPr>
        <w:t>neurocritical</w:t>
      </w:r>
      <w:proofErr w:type="spellEnd"/>
      <w:r>
        <w:rPr>
          <w:rFonts w:asciiTheme="majorBidi" w:hAnsiTheme="majorBidi" w:cstheme="majorBidi"/>
          <w:sz w:val="24"/>
          <w:szCs w:val="24"/>
        </w:rPr>
        <w:t xml:space="preserve"> care</w:t>
      </w:r>
      <w:r w:rsidRPr="009F35F3">
        <w:rPr>
          <w:rFonts w:asciiTheme="majorBidi" w:hAnsiTheme="majorBidi" w:cstheme="majorBidi"/>
          <w:sz w:val="24"/>
          <w:szCs w:val="24"/>
        </w:rPr>
        <w:t xml:space="preserve">. </w:t>
      </w:r>
      <w:r>
        <w:rPr>
          <w:rFonts w:asciiTheme="majorBidi" w:hAnsiTheme="majorBidi" w:cstheme="majorBidi"/>
          <w:sz w:val="24"/>
          <w:szCs w:val="24"/>
        </w:rPr>
        <w:t>Administration of EPO to neurologically injured patients</w:t>
      </w:r>
      <w:r w:rsidRPr="009F35F3">
        <w:rPr>
          <w:rFonts w:asciiTheme="majorBidi" w:hAnsiTheme="majorBidi" w:cstheme="majorBidi"/>
          <w:sz w:val="24"/>
          <w:szCs w:val="24"/>
        </w:rPr>
        <w:t xml:space="preserve"> has been one of his field of interests and experience for the past 4 years. </w:t>
      </w:r>
    </w:p>
    <w:p w:rsidR="00007C5B" w:rsidRPr="009F35F3" w:rsidRDefault="00007C5B" w:rsidP="00007C5B">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He was the chief of few hospitals and </w:t>
      </w:r>
      <w:r w:rsidRPr="009F35F3">
        <w:rPr>
          <w:rFonts w:asciiTheme="majorBidi" w:hAnsiTheme="majorBidi" w:cstheme="majorBidi"/>
          <w:sz w:val="24"/>
          <w:szCs w:val="24"/>
        </w:rPr>
        <w:t xml:space="preserve">associate professor in </w:t>
      </w:r>
      <w:proofErr w:type="spellStart"/>
      <w:r w:rsidRPr="009F35F3">
        <w:rPr>
          <w:rFonts w:asciiTheme="majorBidi" w:hAnsiTheme="majorBidi" w:cstheme="majorBidi"/>
          <w:sz w:val="24"/>
          <w:szCs w:val="24"/>
        </w:rPr>
        <w:t>Shahid</w:t>
      </w:r>
      <w:proofErr w:type="spellEnd"/>
      <w:r w:rsidRPr="009F35F3">
        <w:rPr>
          <w:rFonts w:asciiTheme="majorBidi" w:hAnsiTheme="majorBidi" w:cstheme="majorBidi"/>
          <w:sz w:val="24"/>
          <w:szCs w:val="24"/>
        </w:rPr>
        <w:t xml:space="preserve"> </w:t>
      </w:r>
      <w:proofErr w:type="spellStart"/>
      <w:r w:rsidRPr="009F35F3">
        <w:rPr>
          <w:rFonts w:asciiTheme="majorBidi" w:hAnsiTheme="majorBidi" w:cstheme="majorBidi"/>
          <w:sz w:val="24"/>
          <w:szCs w:val="24"/>
        </w:rPr>
        <w:t>Beheshti</w:t>
      </w:r>
      <w:proofErr w:type="spellEnd"/>
      <w:r w:rsidRPr="009F35F3">
        <w:rPr>
          <w:rFonts w:asciiTheme="majorBidi" w:hAnsiTheme="majorBidi" w:cstheme="majorBidi"/>
          <w:sz w:val="24"/>
          <w:szCs w:val="24"/>
        </w:rPr>
        <w:t xml:space="preserve"> University of Medical Sciences for 8 years</w:t>
      </w:r>
      <w:r>
        <w:rPr>
          <w:rFonts w:asciiTheme="majorBidi" w:hAnsiTheme="majorBidi" w:cstheme="majorBidi"/>
          <w:sz w:val="24"/>
          <w:szCs w:val="24"/>
        </w:rPr>
        <w:t xml:space="preserve">. Dr. </w:t>
      </w:r>
      <w:proofErr w:type="spellStart"/>
      <w:r>
        <w:rPr>
          <w:rFonts w:asciiTheme="majorBidi" w:hAnsiTheme="majorBidi" w:cstheme="majorBidi"/>
          <w:sz w:val="24"/>
          <w:szCs w:val="24"/>
        </w:rPr>
        <w:t>Nejat</w:t>
      </w:r>
      <w:proofErr w:type="spellEnd"/>
      <w:r w:rsidRPr="009F35F3">
        <w:rPr>
          <w:rFonts w:asciiTheme="majorBidi" w:hAnsiTheme="majorBidi" w:cstheme="majorBidi"/>
          <w:sz w:val="24"/>
          <w:szCs w:val="24"/>
        </w:rPr>
        <w:t xml:space="preserve"> has 4 published books in the field</w:t>
      </w:r>
      <w:r>
        <w:rPr>
          <w:rFonts w:asciiTheme="majorBidi" w:hAnsiTheme="majorBidi" w:cstheme="majorBidi"/>
          <w:sz w:val="24"/>
          <w:szCs w:val="24"/>
        </w:rPr>
        <w:t>s</w:t>
      </w:r>
      <w:r w:rsidRPr="009F35F3">
        <w:rPr>
          <w:rFonts w:asciiTheme="majorBidi" w:hAnsiTheme="majorBidi" w:cstheme="majorBidi"/>
          <w:sz w:val="24"/>
          <w:szCs w:val="24"/>
        </w:rPr>
        <w:t xml:space="preserve"> of cardiology, nephrology, fluid and electrolyte, nutrition, metabolism and endocrinology. </w:t>
      </w:r>
      <w:r>
        <w:rPr>
          <w:rFonts w:asciiTheme="majorBidi" w:hAnsiTheme="majorBidi" w:cstheme="majorBidi"/>
          <w:sz w:val="24"/>
          <w:szCs w:val="24"/>
        </w:rPr>
        <w:t xml:space="preserve">Recently, he contributed to the chapter of “Acute Heart Failure” in the reference book “Comprehensive Textbook of Therapeutics” studied by post-doc residents of pharmacotherapy. On </w:t>
      </w:r>
      <w:r w:rsidRPr="009F35F3">
        <w:rPr>
          <w:rFonts w:asciiTheme="majorBidi" w:hAnsiTheme="majorBidi" w:cstheme="majorBidi"/>
          <w:sz w:val="24"/>
          <w:szCs w:val="24"/>
        </w:rPr>
        <w:t xml:space="preserve">his website, rezanejat.com, </w:t>
      </w:r>
      <w:r>
        <w:rPr>
          <w:rFonts w:asciiTheme="majorBidi" w:hAnsiTheme="majorBidi" w:cstheme="majorBidi"/>
          <w:sz w:val="24"/>
          <w:szCs w:val="24"/>
        </w:rPr>
        <w:t>h</w:t>
      </w:r>
      <w:r w:rsidRPr="009F35F3">
        <w:rPr>
          <w:rFonts w:asciiTheme="majorBidi" w:hAnsiTheme="majorBidi" w:cstheme="majorBidi"/>
          <w:sz w:val="24"/>
          <w:szCs w:val="24"/>
        </w:rPr>
        <w:t xml:space="preserve">e publishes his articles. </w:t>
      </w:r>
    </w:p>
    <w:p w:rsidR="00AE3E37" w:rsidRDefault="00A9710C" w:rsidP="00007C5B">
      <w:pPr>
        <w:spacing w:before="62"/>
        <w:ind w:left="4217" w:right="4235"/>
        <w:jc w:val="center"/>
        <w:rPr>
          <w:rStyle w:val="Hyperlink"/>
          <w:rFonts w:ascii="Arial"/>
          <w:sz w:val="14"/>
        </w:rPr>
      </w:pPr>
      <w:r>
        <w:rPr>
          <w:rFonts w:ascii="Arial"/>
          <w:sz w:val="14"/>
        </w:rPr>
        <w:t xml:space="preserve">Email: </w:t>
      </w:r>
      <w:r w:rsidR="00007C5B">
        <w:rPr>
          <w:rFonts w:ascii="Arial"/>
          <w:sz w:val="14"/>
        </w:rPr>
        <w:t>rezanejat@yahoo.com</w:t>
      </w:r>
      <w:hyperlink r:id="rId15" w:history="1"/>
    </w:p>
    <w:p w:rsidR="00827B1F" w:rsidRPr="00827B1F" w:rsidRDefault="00827B1F" w:rsidP="00007C5B">
      <w:pPr>
        <w:spacing w:before="62"/>
        <w:ind w:left="4217" w:right="4235"/>
        <w:jc w:val="center"/>
        <w:rPr>
          <w:rFonts w:ascii="Arial"/>
          <w:sz w:val="14"/>
        </w:rPr>
      </w:pPr>
      <w:r w:rsidRPr="00827B1F">
        <w:rPr>
          <w:rStyle w:val="Hyperlink"/>
          <w:rFonts w:ascii="Arial"/>
          <w:color w:val="auto"/>
          <w:sz w:val="14"/>
          <w:u w:val="none"/>
        </w:rPr>
        <w:t xml:space="preserve">Phone: </w:t>
      </w:r>
      <w:r w:rsidR="00007C5B">
        <w:rPr>
          <w:rStyle w:val="Hyperlink"/>
          <w:rFonts w:ascii="Arial"/>
          <w:color w:val="auto"/>
          <w:sz w:val="14"/>
          <w:u w:val="none"/>
        </w:rPr>
        <w:t>+98-912(316)1945</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6478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2F6F" w:rsidRDefault="00662F6F">
      <w:r>
        <w:separator/>
      </w:r>
    </w:p>
  </w:endnote>
  <w:endnote w:type="continuationSeparator" w:id="0">
    <w:p w:rsidR="00662F6F" w:rsidRDefault="0066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2F6F" w:rsidRDefault="00662F6F">
      <w:r>
        <w:separator/>
      </w:r>
    </w:p>
  </w:footnote>
  <w:footnote w:type="continuationSeparator" w:id="0">
    <w:p w:rsidR="00662F6F" w:rsidRDefault="00662F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FF17E0"/>
    <w:multiLevelType w:val="hybridMultilevel"/>
    <w:tmpl w:val="901C274E"/>
    <w:lvl w:ilvl="0" w:tplc="CE10BD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C5B"/>
    <w:rsid w:val="000642C6"/>
    <w:rsid w:val="00065718"/>
    <w:rsid w:val="000E2911"/>
    <w:rsid w:val="001263DF"/>
    <w:rsid w:val="001B5FF8"/>
    <w:rsid w:val="002220FB"/>
    <w:rsid w:val="00292ED9"/>
    <w:rsid w:val="002A1D11"/>
    <w:rsid w:val="003C5A16"/>
    <w:rsid w:val="00404E5B"/>
    <w:rsid w:val="00414F7B"/>
    <w:rsid w:val="004355DC"/>
    <w:rsid w:val="004749B4"/>
    <w:rsid w:val="00494130"/>
    <w:rsid w:val="004F3523"/>
    <w:rsid w:val="005973B9"/>
    <w:rsid w:val="005B3A56"/>
    <w:rsid w:val="006060CE"/>
    <w:rsid w:val="0063497F"/>
    <w:rsid w:val="00662F6F"/>
    <w:rsid w:val="006910C5"/>
    <w:rsid w:val="00694418"/>
    <w:rsid w:val="007C58EC"/>
    <w:rsid w:val="00827B1F"/>
    <w:rsid w:val="00873DF0"/>
    <w:rsid w:val="008756E6"/>
    <w:rsid w:val="009B2D44"/>
    <w:rsid w:val="009C048D"/>
    <w:rsid w:val="00A07E82"/>
    <w:rsid w:val="00A9710C"/>
    <w:rsid w:val="00AE3E37"/>
    <w:rsid w:val="00B21A57"/>
    <w:rsid w:val="00B21BA3"/>
    <w:rsid w:val="00B462A6"/>
    <w:rsid w:val="00B465EE"/>
    <w:rsid w:val="00C33602"/>
    <w:rsid w:val="00C35604"/>
    <w:rsid w:val="00CC00DB"/>
    <w:rsid w:val="00CD6F55"/>
    <w:rsid w:val="00DA77E0"/>
    <w:rsid w:val="00DE150F"/>
    <w:rsid w:val="00DE3104"/>
    <w:rsid w:val="00E022E6"/>
    <w:rsid w:val="00E029EB"/>
    <w:rsid w:val="00E308D2"/>
    <w:rsid w:val="00F72EEA"/>
    <w:rsid w:val="00F81E23"/>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FB2D80-112E-40ED-BDDF-0352D5450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0FD190C-5474-41FC-99FF-CC37051A8625}" type="doc">
      <dgm:prSet loTypeId="urn:microsoft.com/office/officeart/2009/layout/CircleArrowProcess" loCatId="cycle" qsTypeId="urn:microsoft.com/office/officeart/2005/8/quickstyle/3d2" qsCatId="3D" csTypeId="urn:microsoft.com/office/officeart/2005/8/colors/accent1_4" csCatId="accent1" phldr="1"/>
      <dgm:spPr/>
      <dgm:t>
        <a:bodyPr/>
        <a:lstStyle/>
        <a:p>
          <a:endParaRPr lang="en-US"/>
        </a:p>
      </dgm:t>
    </dgm:pt>
    <dgm:pt modelId="{19F68321-42AB-4A9F-9536-A5A8A48C8897}">
      <dgm:prSet phldrT="[Text]" custT="1"/>
      <dgm:spPr/>
      <dgm:t>
        <a:bodyPr/>
        <a:lstStyle/>
        <a:p>
          <a:pPr algn="ctr"/>
          <a:r>
            <a:rPr lang="en-US" sz="1100" b="0">
              <a:latin typeface="Times New Roman" panose="02020603050405020304" pitchFamily="18" charset="0"/>
              <a:cs typeface="Times New Roman" panose="02020603050405020304" pitchFamily="18" charset="0"/>
            </a:rPr>
            <a:t>Hypoxia</a:t>
          </a:r>
        </a:p>
      </dgm:t>
    </dgm:pt>
    <dgm:pt modelId="{11B80790-C08F-4823-B09F-144311CCE6F0}" type="parTrans" cxnId="{9064B0C7-2C17-489D-8B66-78C0A68A8B45}">
      <dgm:prSet/>
      <dgm:spPr/>
      <dgm:t>
        <a:bodyPr/>
        <a:lstStyle/>
        <a:p>
          <a:pPr algn="ctr"/>
          <a:endParaRPr lang="en-US"/>
        </a:p>
      </dgm:t>
    </dgm:pt>
    <dgm:pt modelId="{9126912A-59F3-4BCD-879E-3D89D081653E}" type="sibTrans" cxnId="{9064B0C7-2C17-489D-8B66-78C0A68A8B45}">
      <dgm:prSet/>
      <dgm:spPr/>
      <dgm:t>
        <a:bodyPr/>
        <a:lstStyle/>
        <a:p>
          <a:pPr algn="ctr"/>
          <a:endParaRPr lang="en-US"/>
        </a:p>
      </dgm:t>
    </dgm:pt>
    <dgm:pt modelId="{2BC36B3C-DD98-4BEC-BB82-12983461C16A}">
      <dgm:prSet phldrT="[Text]" custT="1"/>
      <dgm:spPr/>
      <dgm:t>
        <a:bodyPr/>
        <a:lstStyle/>
        <a:p>
          <a:pPr algn="ctr"/>
          <a:r>
            <a:rPr lang="en-US" sz="1400">
              <a:latin typeface="Times New Roman" panose="02020603050405020304" pitchFamily="18" charset="0"/>
              <a:cs typeface="Times New Roman" panose="02020603050405020304" pitchFamily="18" charset="0"/>
            </a:rPr>
            <a:t>HIF-1</a:t>
          </a:r>
        </a:p>
      </dgm:t>
    </dgm:pt>
    <dgm:pt modelId="{E26DB0A5-4B7E-426A-9612-15C615E6AE5B}" type="parTrans" cxnId="{A4CB6272-F8F7-4E31-AE21-5186CC563D53}">
      <dgm:prSet/>
      <dgm:spPr/>
      <dgm:t>
        <a:bodyPr/>
        <a:lstStyle/>
        <a:p>
          <a:pPr algn="ctr"/>
          <a:endParaRPr lang="en-US"/>
        </a:p>
      </dgm:t>
    </dgm:pt>
    <dgm:pt modelId="{A91FE245-0830-4374-8F15-692A1AC2BD91}" type="sibTrans" cxnId="{A4CB6272-F8F7-4E31-AE21-5186CC563D53}">
      <dgm:prSet/>
      <dgm:spPr/>
      <dgm:t>
        <a:bodyPr/>
        <a:lstStyle/>
        <a:p>
          <a:pPr algn="ctr"/>
          <a:endParaRPr lang="en-US"/>
        </a:p>
      </dgm:t>
    </dgm:pt>
    <dgm:pt modelId="{F8C8342A-87B2-4F94-9538-711EC8E81707}">
      <dgm:prSet phldrT="[Text]" custT="1"/>
      <dgm:spPr/>
      <dgm:t>
        <a:bodyPr/>
        <a:lstStyle/>
        <a:p>
          <a:pPr algn="ctr"/>
          <a:r>
            <a:rPr lang="en-US" sz="1400">
              <a:latin typeface="Times New Roman" panose="02020603050405020304" pitchFamily="18" charset="0"/>
              <a:cs typeface="Times New Roman" panose="02020603050405020304" pitchFamily="18" charset="0"/>
            </a:rPr>
            <a:t>IGF-1</a:t>
          </a:r>
        </a:p>
      </dgm:t>
    </dgm:pt>
    <dgm:pt modelId="{871AF595-E0A9-4600-8F7A-74DFA9AD01C0}" type="parTrans" cxnId="{71E211D1-1E8A-48EC-A21E-7BE9A9B0A9D0}">
      <dgm:prSet/>
      <dgm:spPr/>
      <dgm:t>
        <a:bodyPr/>
        <a:lstStyle/>
        <a:p>
          <a:pPr algn="ctr"/>
          <a:endParaRPr lang="en-US"/>
        </a:p>
      </dgm:t>
    </dgm:pt>
    <dgm:pt modelId="{9F02BFCD-E974-4DFF-9955-43DDF763ABBA}" type="sibTrans" cxnId="{71E211D1-1E8A-48EC-A21E-7BE9A9B0A9D0}">
      <dgm:prSet/>
      <dgm:spPr/>
      <dgm:t>
        <a:bodyPr/>
        <a:lstStyle/>
        <a:p>
          <a:pPr algn="ctr"/>
          <a:endParaRPr lang="en-US"/>
        </a:p>
      </dgm:t>
    </dgm:pt>
    <dgm:pt modelId="{DF8FC13E-596F-4431-9457-E08AE0D92440}">
      <dgm:prSet phldrT="[Text]" custT="1"/>
      <dgm:spPr/>
      <dgm:t>
        <a:bodyPr/>
        <a:lstStyle/>
        <a:p>
          <a:pPr algn="ctr"/>
          <a:r>
            <a:rPr lang="en-US" sz="1100">
              <a:latin typeface="Times New Roman" panose="02020603050405020304" pitchFamily="18" charset="0"/>
              <a:cs typeface="Times New Roman" panose="02020603050405020304" pitchFamily="18" charset="0"/>
            </a:rPr>
            <a:t>EPO, VEGF, PDGF gene</a:t>
          </a:r>
        </a:p>
      </dgm:t>
    </dgm:pt>
    <dgm:pt modelId="{0F0C972A-4991-4444-9565-E836B010BDCF}" type="parTrans" cxnId="{E4C7C6BB-099C-4742-A8DD-C04C39A96417}">
      <dgm:prSet/>
      <dgm:spPr/>
      <dgm:t>
        <a:bodyPr/>
        <a:lstStyle/>
        <a:p>
          <a:pPr algn="ctr"/>
          <a:endParaRPr lang="en-US"/>
        </a:p>
      </dgm:t>
    </dgm:pt>
    <dgm:pt modelId="{0076EEF7-D56F-4040-9F8C-E62E08C1558A}" type="sibTrans" cxnId="{E4C7C6BB-099C-4742-A8DD-C04C39A96417}">
      <dgm:prSet custLinFactNeighborX="-25291" custLinFactNeighborY="30595"/>
      <dgm:spPr/>
      <dgm:t>
        <a:bodyPr/>
        <a:lstStyle/>
        <a:p>
          <a:pPr algn="ctr"/>
          <a:endParaRPr lang="en-US"/>
        </a:p>
      </dgm:t>
    </dgm:pt>
    <dgm:pt modelId="{D79653BC-8FA7-400E-827E-7FCDD5684BF0}" type="pres">
      <dgm:prSet presAssocID="{B0FD190C-5474-41FC-99FF-CC37051A8625}" presName="Name0" presStyleCnt="0">
        <dgm:presLayoutVars>
          <dgm:chMax val="7"/>
          <dgm:chPref val="7"/>
          <dgm:dir/>
          <dgm:animLvl val="lvl"/>
        </dgm:presLayoutVars>
      </dgm:prSet>
      <dgm:spPr/>
      <dgm:t>
        <a:bodyPr/>
        <a:lstStyle/>
        <a:p>
          <a:endParaRPr lang="en-US"/>
        </a:p>
      </dgm:t>
    </dgm:pt>
    <dgm:pt modelId="{D7A17025-BB7F-43B3-B036-9DBDEE591568}" type="pres">
      <dgm:prSet presAssocID="{19F68321-42AB-4A9F-9536-A5A8A48C8897}" presName="Accent1" presStyleCnt="0"/>
      <dgm:spPr/>
    </dgm:pt>
    <dgm:pt modelId="{A77590A4-0835-445C-9AA5-F9ADA22C22EB}" type="pres">
      <dgm:prSet presAssocID="{19F68321-42AB-4A9F-9536-A5A8A48C8897}" presName="Accent" presStyleLbl="node1" presStyleIdx="0" presStyleCnt="4"/>
      <dgm:spPr>
        <a:solidFill>
          <a:srgbClr val="0070C0"/>
        </a:solidFill>
      </dgm:spPr>
      <dgm:t>
        <a:bodyPr/>
        <a:lstStyle/>
        <a:p>
          <a:endParaRPr lang="en-US"/>
        </a:p>
      </dgm:t>
    </dgm:pt>
    <dgm:pt modelId="{7D5C672B-C406-4F6F-A982-1391C2D24001}" type="pres">
      <dgm:prSet presAssocID="{19F68321-42AB-4A9F-9536-A5A8A48C8897}" presName="Parent1" presStyleLbl="revTx" presStyleIdx="0" presStyleCnt="4" custScaleX="127748">
        <dgm:presLayoutVars>
          <dgm:chMax val="1"/>
          <dgm:chPref val="1"/>
          <dgm:bulletEnabled val="1"/>
        </dgm:presLayoutVars>
      </dgm:prSet>
      <dgm:spPr/>
      <dgm:t>
        <a:bodyPr/>
        <a:lstStyle/>
        <a:p>
          <a:endParaRPr lang="en-US"/>
        </a:p>
      </dgm:t>
    </dgm:pt>
    <dgm:pt modelId="{C54FF734-FFB9-4BE5-A544-20A57CAB2DE6}" type="pres">
      <dgm:prSet presAssocID="{2BC36B3C-DD98-4BEC-BB82-12983461C16A}" presName="Accent2" presStyleCnt="0"/>
      <dgm:spPr/>
    </dgm:pt>
    <dgm:pt modelId="{362587D2-12CF-4716-B80D-708EC1DF6100}" type="pres">
      <dgm:prSet presAssocID="{2BC36B3C-DD98-4BEC-BB82-12983461C16A}" presName="Accent" presStyleLbl="node1" presStyleIdx="1" presStyleCnt="4"/>
      <dgm:spPr>
        <a:solidFill>
          <a:srgbClr val="7030A0"/>
        </a:solidFill>
      </dgm:spPr>
      <dgm:t>
        <a:bodyPr/>
        <a:lstStyle/>
        <a:p>
          <a:endParaRPr lang="en-US"/>
        </a:p>
      </dgm:t>
    </dgm:pt>
    <dgm:pt modelId="{7594FA60-5445-4250-873C-3AE539A5432D}" type="pres">
      <dgm:prSet presAssocID="{2BC36B3C-DD98-4BEC-BB82-12983461C16A}" presName="Parent2" presStyleLbl="revTx" presStyleIdx="1" presStyleCnt="4">
        <dgm:presLayoutVars>
          <dgm:chMax val="1"/>
          <dgm:chPref val="1"/>
          <dgm:bulletEnabled val="1"/>
        </dgm:presLayoutVars>
      </dgm:prSet>
      <dgm:spPr/>
      <dgm:t>
        <a:bodyPr/>
        <a:lstStyle/>
        <a:p>
          <a:endParaRPr lang="en-US"/>
        </a:p>
      </dgm:t>
    </dgm:pt>
    <dgm:pt modelId="{0B1177E6-7F76-45CE-8DE7-81E1F5DBB370}" type="pres">
      <dgm:prSet presAssocID="{F8C8342A-87B2-4F94-9538-711EC8E81707}" presName="Accent3" presStyleCnt="0"/>
      <dgm:spPr/>
    </dgm:pt>
    <dgm:pt modelId="{7BD4BBC5-26BD-4D23-873B-0930D068E77E}" type="pres">
      <dgm:prSet presAssocID="{F8C8342A-87B2-4F94-9538-711EC8E81707}" presName="Accent" presStyleLbl="node1" presStyleIdx="2" presStyleCnt="4"/>
      <dgm:spPr>
        <a:solidFill>
          <a:srgbClr val="00B0F0"/>
        </a:solidFill>
      </dgm:spPr>
      <dgm:t>
        <a:bodyPr/>
        <a:lstStyle/>
        <a:p>
          <a:endParaRPr lang="en-US"/>
        </a:p>
      </dgm:t>
    </dgm:pt>
    <dgm:pt modelId="{0E7B7AEC-5B08-42FB-B7DA-881027271140}" type="pres">
      <dgm:prSet presAssocID="{F8C8342A-87B2-4F94-9538-711EC8E81707}" presName="Parent3" presStyleLbl="revTx" presStyleIdx="2" presStyleCnt="4">
        <dgm:presLayoutVars>
          <dgm:chMax val="1"/>
          <dgm:chPref val="1"/>
          <dgm:bulletEnabled val="1"/>
        </dgm:presLayoutVars>
      </dgm:prSet>
      <dgm:spPr/>
      <dgm:t>
        <a:bodyPr/>
        <a:lstStyle/>
        <a:p>
          <a:endParaRPr lang="en-US"/>
        </a:p>
      </dgm:t>
    </dgm:pt>
    <dgm:pt modelId="{1F2FE5A0-151F-4971-9852-13FA3B89EEF2}" type="pres">
      <dgm:prSet presAssocID="{DF8FC13E-596F-4431-9457-E08AE0D92440}" presName="Accent4" presStyleCnt="0"/>
      <dgm:spPr/>
    </dgm:pt>
    <dgm:pt modelId="{FF042950-7421-4EBF-8A94-CD16A7D09D1E}" type="pres">
      <dgm:prSet presAssocID="{DF8FC13E-596F-4431-9457-E08AE0D92440}" presName="Accent" presStyleLbl="node1" presStyleIdx="3" presStyleCnt="4"/>
      <dgm:spPr>
        <a:solidFill>
          <a:srgbClr val="7030A0"/>
        </a:solidFill>
      </dgm:spPr>
      <dgm:t>
        <a:bodyPr/>
        <a:lstStyle/>
        <a:p>
          <a:endParaRPr lang="en-US"/>
        </a:p>
      </dgm:t>
    </dgm:pt>
    <dgm:pt modelId="{87E5EB15-E978-46DD-856C-D6EC9329CB8B}" type="pres">
      <dgm:prSet presAssocID="{DF8FC13E-596F-4431-9457-E08AE0D92440}" presName="Parent4" presStyleLbl="revTx" presStyleIdx="3" presStyleCnt="4" custLinFactNeighborX="2809" custLinFactNeighborY="-4138">
        <dgm:presLayoutVars>
          <dgm:chMax val="1"/>
          <dgm:chPref val="1"/>
          <dgm:bulletEnabled val="1"/>
        </dgm:presLayoutVars>
      </dgm:prSet>
      <dgm:spPr/>
      <dgm:t>
        <a:bodyPr/>
        <a:lstStyle/>
        <a:p>
          <a:endParaRPr lang="en-US"/>
        </a:p>
      </dgm:t>
    </dgm:pt>
  </dgm:ptLst>
  <dgm:cxnLst>
    <dgm:cxn modelId="{71E211D1-1E8A-48EC-A21E-7BE9A9B0A9D0}" srcId="{B0FD190C-5474-41FC-99FF-CC37051A8625}" destId="{F8C8342A-87B2-4F94-9538-711EC8E81707}" srcOrd="2" destOrd="0" parTransId="{871AF595-E0A9-4600-8F7A-74DFA9AD01C0}" sibTransId="{9F02BFCD-E974-4DFF-9955-43DDF763ABBA}"/>
    <dgm:cxn modelId="{E4C7C6BB-099C-4742-A8DD-C04C39A96417}" srcId="{B0FD190C-5474-41FC-99FF-CC37051A8625}" destId="{DF8FC13E-596F-4431-9457-E08AE0D92440}" srcOrd="3" destOrd="0" parTransId="{0F0C972A-4991-4444-9565-E836B010BDCF}" sibTransId="{0076EEF7-D56F-4040-9F8C-E62E08C1558A}"/>
    <dgm:cxn modelId="{503FD70D-09E2-4CB9-BD48-DA3F83D7B4DF}" type="presOf" srcId="{2BC36B3C-DD98-4BEC-BB82-12983461C16A}" destId="{7594FA60-5445-4250-873C-3AE539A5432D}" srcOrd="0" destOrd="0" presId="urn:microsoft.com/office/officeart/2009/layout/CircleArrowProcess"/>
    <dgm:cxn modelId="{C6511D86-1F64-4087-A81B-E186B851C328}" type="presOf" srcId="{19F68321-42AB-4A9F-9536-A5A8A48C8897}" destId="{7D5C672B-C406-4F6F-A982-1391C2D24001}" srcOrd="0" destOrd="0" presId="urn:microsoft.com/office/officeart/2009/layout/CircleArrowProcess"/>
    <dgm:cxn modelId="{A4CB6272-F8F7-4E31-AE21-5186CC563D53}" srcId="{B0FD190C-5474-41FC-99FF-CC37051A8625}" destId="{2BC36B3C-DD98-4BEC-BB82-12983461C16A}" srcOrd="1" destOrd="0" parTransId="{E26DB0A5-4B7E-426A-9612-15C615E6AE5B}" sibTransId="{A91FE245-0830-4374-8F15-692A1AC2BD91}"/>
    <dgm:cxn modelId="{6908BD59-0125-43E0-BF34-27AFA109ABE9}" type="presOf" srcId="{F8C8342A-87B2-4F94-9538-711EC8E81707}" destId="{0E7B7AEC-5B08-42FB-B7DA-881027271140}" srcOrd="0" destOrd="0" presId="urn:microsoft.com/office/officeart/2009/layout/CircleArrowProcess"/>
    <dgm:cxn modelId="{6858594E-4095-44B0-ACCF-772E64C6A861}" type="presOf" srcId="{DF8FC13E-596F-4431-9457-E08AE0D92440}" destId="{87E5EB15-E978-46DD-856C-D6EC9329CB8B}" srcOrd="0" destOrd="0" presId="urn:microsoft.com/office/officeart/2009/layout/CircleArrowProcess"/>
    <dgm:cxn modelId="{534B955C-CD5E-418D-80CC-8480F36B90C8}" type="presOf" srcId="{B0FD190C-5474-41FC-99FF-CC37051A8625}" destId="{D79653BC-8FA7-400E-827E-7FCDD5684BF0}" srcOrd="0" destOrd="0" presId="urn:microsoft.com/office/officeart/2009/layout/CircleArrowProcess"/>
    <dgm:cxn modelId="{9064B0C7-2C17-489D-8B66-78C0A68A8B45}" srcId="{B0FD190C-5474-41FC-99FF-CC37051A8625}" destId="{19F68321-42AB-4A9F-9536-A5A8A48C8897}" srcOrd="0" destOrd="0" parTransId="{11B80790-C08F-4823-B09F-144311CCE6F0}" sibTransId="{9126912A-59F3-4BCD-879E-3D89D081653E}"/>
    <dgm:cxn modelId="{B46E0DDD-D32F-4A8E-99AB-E6DE1D742B01}" type="presParOf" srcId="{D79653BC-8FA7-400E-827E-7FCDD5684BF0}" destId="{D7A17025-BB7F-43B3-B036-9DBDEE591568}" srcOrd="0" destOrd="0" presId="urn:microsoft.com/office/officeart/2009/layout/CircleArrowProcess"/>
    <dgm:cxn modelId="{C8170170-B598-4BC2-B980-6E6E331CDDF7}" type="presParOf" srcId="{D7A17025-BB7F-43B3-B036-9DBDEE591568}" destId="{A77590A4-0835-445C-9AA5-F9ADA22C22EB}" srcOrd="0" destOrd="0" presId="urn:microsoft.com/office/officeart/2009/layout/CircleArrowProcess"/>
    <dgm:cxn modelId="{8F78BDF1-1988-4D09-833F-19789A00D2FC}" type="presParOf" srcId="{D79653BC-8FA7-400E-827E-7FCDD5684BF0}" destId="{7D5C672B-C406-4F6F-A982-1391C2D24001}" srcOrd="1" destOrd="0" presId="urn:microsoft.com/office/officeart/2009/layout/CircleArrowProcess"/>
    <dgm:cxn modelId="{2CE2C911-ABEE-4755-A8AD-A434B5D19E73}" type="presParOf" srcId="{D79653BC-8FA7-400E-827E-7FCDD5684BF0}" destId="{C54FF734-FFB9-4BE5-A544-20A57CAB2DE6}" srcOrd="2" destOrd="0" presId="urn:microsoft.com/office/officeart/2009/layout/CircleArrowProcess"/>
    <dgm:cxn modelId="{7F634BE4-DE15-4B6C-891E-CCDF38125EA1}" type="presParOf" srcId="{C54FF734-FFB9-4BE5-A544-20A57CAB2DE6}" destId="{362587D2-12CF-4716-B80D-708EC1DF6100}" srcOrd="0" destOrd="0" presId="urn:microsoft.com/office/officeart/2009/layout/CircleArrowProcess"/>
    <dgm:cxn modelId="{A7AE129B-B8EE-4109-9175-A0E635FA93CF}" type="presParOf" srcId="{D79653BC-8FA7-400E-827E-7FCDD5684BF0}" destId="{7594FA60-5445-4250-873C-3AE539A5432D}" srcOrd="3" destOrd="0" presId="urn:microsoft.com/office/officeart/2009/layout/CircleArrowProcess"/>
    <dgm:cxn modelId="{DFDCCA32-E05F-4E49-8425-8EF9D8D8AF91}" type="presParOf" srcId="{D79653BC-8FA7-400E-827E-7FCDD5684BF0}" destId="{0B1177E6-7F76-45CE-8DE7-81E1F5DBB370}" srcOrd="4" destOrd="0" presId="urn:microsoft.com/office/officeart/2009/layout/CircleArrowProcess"/>
    <dgm:cxn modelId="{14331329-F4AF-4CF3-B6A8-CBF0A200EAEA}" type="presParOf" srcId="{0B1177E6-7F76-45CE-8DE7-81E1F5DBB370}" destId="{7BD4BBC5-26BD-4D23-873B-0930D068E77E}" srcOrd="0" destOrd="0" presId="urn:microsoft.com/office/officeart/2009/layout/CircleArrowProcess"/>
    <dgm:cxn modelId="{1EFEE705-2C74-4144-AC0E-32931A8810B8}" type="presParOf" srcId="{D79653BC-8FA7-400E-827E-7FCDD5684BF0}" destId="{0E7B7AEC-5B08-42FB-B7DA-881027271140}" srcOrd="5" destOrd="0" presId="urn:microsoft.com/office/officeart/2009/layout/CircleArrowProcess"/>
    <dgm:cxn modelId="{2B2281CC-E5F3-41EC-9C61-45797FE64D0C}" type="presParOf" srcId="{D79653BC-8FA7-400E-827E-7FCDD5684BF0}" destId="{1F2FE5A0-151F-4971-9852-13FA3B89EEF2}" srcOrd="6" destOrd="0" presId="urn:microsoft.com/office/officeart/2009/layout/CircleArrowProcess"/>
    <dgm:cxn modelId="{E9876A28-1B15-4824-B6E2-26CDC3EA3689}" type="presParOf" srcId="{1F2FE5A0-151F-4971-9852-13FA3B89EEF2}" destId="{FF042950-7421-4EBF-8A94-CD16A7D09D1E}" srcOrd="0" destOrd="0" presId="urn:microsoft.com/office/officeart/2009/layout/CircleArrowProcess"/>
    <dgm:cxn modelId="{DE0690AC-FCDC-4439-8117-2C401CBBF257}" type="presParOf" srcId="{D79653BC-8FA7-400E-827E-7FCDD5684BF0}" destId="{87E5EB15-E978-46DD-856C-D6EC9329CB8B}" srcOrd="7" destOrd="0" presId="urn:microsoft.com/office/officeart/2009/layout/CircleArrowProcess"/>
  </dgm:cxnLst>
  <dgm:bg>
    <a:noFill/>
    <a:effect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7590A4-0835-445C-9AA5-F9ADA22C22EB}">
      <dsp:nvSpPr>
        <dsp:cNvPr id="0" name=""/>
        <dsp:cNvSpPr/>
      </dsp:nvSpPr>
      <dsp:spPr>
        <a:xfrm>
          <a:off x="602808" y="0"/>
          <a:ext cx="842808" cy="842893"/>
        </a:xfrm>
        <a:prstGeom prst="circularArrow">
          <a:avLst>
            <a:gd name="adj1" fmla="val 10980"/>
            <a:gd name="adj2" fmla="val 1142322"/>
            <a:gd name="adj3" fmla="val 4500000"/>
            <a:gd name="adj4" fmla="val 10800000"/>
            <a:gd name="adj5" fmla="val 12500"/>
          </a:avLst>
        </a:prstGeom>
        <a:solidFill>
          <a:srgbClr val="0070C0"/>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D5C672B-C406-4F6F-A982-1391C2D24001}">
      <dsp:nvSpPr>
        <dsp:cNvPr id="0" name=""/>
        <dsp:cNvSpPr/>
      </dsp:nvSpPr>
      <dsp:spPr>
        <a:xfrm>
          <a:off x="723632" y="305104"/>
          <a:ext cx="600843" cy="2351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0" kern="1200">
              <a:latin typeface="Times New Roman" panose="02020603050405020304" pitchFamily="18" charset="0"/>
              <a:cs typeface="Times New Roman" panose="02020603050405020304" pitchFamily="18" charset="0"/>
            </a:rPr>
            <a:t>Hypoxia</a:t>
          </a:r>
        </a:p>
      </dsp:txBody>
      <dsp:txXfrm>
        <a:off x="723632" y="305104"/>
        <a:ext cx="600843" cy="235143"/>
      </dsp:txXfrm>
    </dsp:sp>
    <dsp:sp modelId="{362587D2-12CF-4716-B80D-708EC1DF6100}">
      <dsp:nvSpPr>
        <dsp:cNvPr id="0" name=""/>
        <dsp:cNvSpPr/>
      </dsp:nvSpPr>
      <dsp:spPr>
        <a:xfrm>
          <a:off x="368668" y="484367"/>
          <a:ext cx="842808" cy="842893"/>
        </a:xfrm>
        <a:prstGeom prst="leftCircularArrow">
          <a:avLst>
            <a:gd name="adj1" fmla="val 10980"/>
            <a:gd name="adj2" fmla="val 1142322"/>
            <a:gd name="adj3" fmla="val 6300000"/>
            <a:gd name="adj4" fmla="val 18900000"/>
            <a:gd name="adj5" fmla="val 12500"/>
          </a:avLst>
        </a:prstGeom>
        <a:solidFill>
          <a:srgbClr val="7030A0"/>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7594FA60-5445-4250-873C-3AE539A5432D}">
      <dsp:nvSpPr>
        <dsp:cNvPr id="0" name=""/>
        <dsp:cNvSpPr/>
      </dsp:nvSpPr>
      <dsp:spPr>
        <a:xfrm>
          <a:off x="553798" y="790366"/>
          <a:ext cx="470334" cy="2351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HIF-1</a:t>
          </a:r>
        </a:p>
      </dsp:txBody>
      <dsp:txXfrm>
        <a:off x="553798" y="790366"/>
        <a:ext cx="470334" cy="235143"/>
      </dsp:txXfrm>
    </dsp:sp>
    <dsp:sp modelId="{7BD4BBC5-26BD-4D23-873B-0930D068E77E}">
      <dsp:nvSpPr>
        <dsp:cNvPr id="0" name=""/>
        <dsp:cNvSpPr/>
      </dsp:nvSpPr>
      <dsp:spPr>
        <a:xfrm>
          <a:off x="602808" y="970523"/>
          <a:ext cx="842808" cy="842893"/>
        </a:xfrm>
        <a:prstGeom prst="circularArrow">
          <a:avLst>
            <a:gd name="adj1" fmla="val 10980"/>
            <a:gd name="adj2" fmla="val 1142322"/>
            <a:gd name="adj3" fmla="val 4500000"/>
            <a:gd name="adj4" fmla="val 13500000"/>
            <a:gd name="adj5" fmla="val 12500"/>
          </a:avLst>
        </a:prstGeom>
        <a:solidFill>
          <a:srgbClr val="00B0F0"/>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0E7B7AEC-5B08-42FB-B7DA-881027271140}">
      <dsp:nvSpPr>
        <dsp:cNvPr id="0" name=""/>
        <dsp:cNvSpPr/>
      </dsp:nvSpPr>
      <dsp:spPr>
        <a:xfrm>
          <a:off x="788886" y="1275628"/>
          <a:ext cx="470334" cy="2351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IGF-1</a:t>
          </a:r>
        </a:p>
      </dsp:txBody>
      <dsp:txXfrm>
        <a:off x="788886" y="1275628"/>
        <a:ext cx="470334" cy="235143"/>
      </dsp:txXfrm>
    </dsp:sp>
    <dsp:sp modelId="{FF042950-7421-4EBF-8A94-CD16A7D09D1E}">
      <dsp:nvSpPr>
        <dsp:cNvPr id="0" name=""/>
        <dsp:cNvSpPr/>
      </dsp:nvSpPr>
      <dsp:spPr>
        <a:xfrm>
          <a:off x="428744" y="1510771"/>
          <a:ext cx="724078" cy="724428"/>
        </a:xfrm>
        <a:prstGeom prst="blockArc">
          <a:avLst>
            <a:gd name="adj1" fmla="val 0"/>
            <a:gd name="adj2" fmla="val 18900000"/>
            <a:gd name="adj3" fmla="val 12740"/>
          </a:avLst>
        </a:prstGeom>
        <a:solidFill>
          <a:srgbClr val="7030A0"/>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87E5EB15-E978-46DD-856C-D6EC9329CB8B}">
      <dsp:nvSpPr>
        <dsp:cNvPr id="0" name=""/>
        <dsp:cNvSpPr/>
      </dsp:nvSpPr>
      <dsp:spPr>
        <a:xfrm>
          <a:off x="567010" y="1751160"/>
          <a:ext cx="470334" cy="23514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EPO, VEGF, PDGF gene</a:t>
          </a:r>
        </a:p>
      </dsp:txBody>
      <dsp:txXfrm>
        <a:off x="567010" y="1751160"/>
        <a:ext cx="470334" cy="235143"/>
      </dsp:txXfrm>
    </dsp:sp>
  </dsp:spTree>
</dsp:drawing>
</file>

<file path=word/diagrams/layout1.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ProBook</cp:lastModifiedBy>
  <cp:revision>2</cp:revision>
  <dcterms:created xsi:type="dcterms:W3CDTF">2018-02-23T16:58:00Z</dcterms:created>
  <dcterms:modified xsi:type="dcterms:W3CDTF">2018-02-23T16:58:00Z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