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B1736C" w:rsidRDefault="00B1736C" w:rsidP="00494130">
      <w:pPr>
        <w:pStyle w:val="Heading1"/>
        <w:spacing w:before="170"/>
        <w:ind w:left="0"/>
        <w:rPr>
          <w:lang w:val="id-ID"/>
        </w:rPr>
      </w:pPr>
      <w:r>
        <w:rPr>
          <w:color w:val="337AB7"/>
          <w:lang w:val="id-ID"/>
        </w:rPr>
        <w:t>Centella asiatica as a Potential Plaque Stabilizer : Future Preventive Therapy for Cardiovascular Disease</w:t>
      </w:r>
    </w:p>
    <w:p w:rsidR="00B1736C" w:rsidRDefault="00B1736C" w:rsidP="00F128BE">
      <w:pPr>
        <w:pStyle w:val="BodyText"/>
        <w:spacing w:before="73" w:line="198" w:lineRule="exact"/>
        <w:ind w:left="100" w:right="5445"/>
        <w:rPr>
          <w:rFonts w:ascii="Arial"/>
          <w:lang w:val="id-ID"/>
        </w:rPr>
      </w:pPr>
      <w:r>
        <w:rPr>
          <w:rFonts w:ascii="Arial"/>
          <w:lang w:val="id-ID"/>
        </w:rPr>
        <w:t>Nindya PBS Utami,</w:t>
      </w:r>
      <w:r w:rsidR="00F128BE">
        <w:rPr>
          <w:rFonts w:ascii="Arial"/>
          <w:lang w:val="id-ID"/>
        </w:rPr>
        <w:t xml:space="preserve"> Undergraduate Student, </w:t>
      </w:r>
      <w:r>
        <w:rPr>
          <w:rFonts w:ascii="Arial"/>
        </w:rPr>
        <w:t xml:space="preserve"> </w:t>
      </w:r>
      <w:r w:rsidR="00F128BE">
        <w:rPr>
          <w:rFonts w:ascii="Arial"/>
          <w:lang w:val="id-ID"/>
        </w:rPr>
        <w:t>FMUI</w:t>
      </w:r>
      <w:r>
        <w:rPr>
          <w:rFonts w:ascii="Arial"/>
          <w:lang w:val="id-ID"/>
        </w:rPr>
        <w:t xml:space="preserve">, </w:t>
      </w:r>
      <w:r>
        <w:rPr>
          <w:rFonts w:ascii="Arial"/>
          <w:lang w:val="id-ID"/>
        </w:rPr>
        <w:t>Indonesia</w:t>
      </w:r>
    </w:p>
    <w:p w:rsidR="00F128BE" w:rsidRPr="00B1736C" w:rsidRDefault="00F128BE" w:rsidP="00F128BE">
      <w:pPr>
        <w:pStyle w:val="BodyText"/>
        <w:spacing w:before="73" w:line="198" w:lineRule="exact"/>
        <w:ind w:left="100" w:right="5445"/>
        <w:rPr>
          <w:rFonts w:ascii="Arial"/>
          <w:lang w:val="id-ID"/>
        </w:rPr>
      </w:pPr>
      <w:r>
        <w:rPr>
          <w:rFonts w:ascii="Arial"/>
          <w:lang w:val="id-ID"/>
        </w:rPr>
        <w:t>Siti Farida, Department of Medical Pharmacy, FMUI, Indonesia</w:t>
      </w:r>
    </w:p>
    <w:p w:rsidR="00AE3E37" w:rsidRDefault="00AE3E37">
      <w:pPr>
        <w:pStyle w:val="BodyText"/>
        <w:rPr>
          <w:rFonts w:ascii="Arial"/>
          <w:sz w:val="20"/>
        </w:rPr>
      </w:pPr>
    </w:p>
    <w:p w:rsidR="00AE3E37" w:rsidRDefault="00AE3E37">
      <w:pPr>
        <w:pStyle w:val="BodyText"/>
        <w:spacing w:before="3"/>
        <w:rPr>
          <w:rFonts w:ascii="Arial"/>
          <w:sz w:val="21"/>
        </w:rPr>
      </w:pPr>
    </w:p>
    <w:p w:rsidR="003C3527" w:rsidRDefault="003C352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B1736C" w:rsidRPr="00B1736C" w:rsidRDefault="00B1736C" w:rsidP="00B1736C">
      <w:pPr>
        <w:pStyle w:val="Heading3"/>
        <w:spacing w:before="74"/>
        <w:jc w:val="both"/>
        <w:rPr>
          <w:rFonts w:ascii="Tw Cen MT" w:eastAsia="Tw Cen MT" w:hAnsi="Tw Cen MT" w:cs="Tw Cen MT"/>
          <w:b w:val="0"/>
          <w:bCs w:val="0"/>
          <w:sz w:val="18"/>
          <w:szCs w:val="18"/>
        </w:rPr>
      </w:pPr>
      <w:r w:rsidRPr="00B1736C">
        <w:rPr>
          <w:rFonts w:ascii="Tw Cen MT" w:eastAsia="Tw Cen MT" w:hAnsi="Tw Cen MT" w:cs="Tw Cen MT"/>
          <w:b w:val="0"/>
          <w:bCs w:val="0"/>
          <w:sz w:val="18"/>
          <w:szCs w:val="18"/>
        </w:rPr>
        <w:t xml:space="preserve">WHO states that cardiovascular disease (CVD) is the cause of 31% of deaths worldwide reaching 17.7 million deaths per year. Causes of CVD including smoking, unbalanced food intake, low physical activity and excessive alcohol consumption. The common pathophysiology of CVD is the formation of atherosclerotic plaques which begins with endothelial dysfunction that is closely related to diabetes mellitus (DM). Existing treatment focus on preventing the formation of atherosclerotic plaques by lowering blood cholesterol levels and blood viscosity thereby preventing the formation of shear strength that can damage the endothelial layer. </w:t>
      </w:r>
      <w:proofErr w:type="spellStart"/>
      <w:r w:rsidRPr="00B1736C">
        <w:rPr>
          <w:rFonts w:ascii="Tw Cen MT" w:eastAsia="Tw Cen MT" w:hAnsi="Tw Cen MT" w:cs="Tw Cen MT"/>
          <w:b w:val="0"/>
          <w:bCs w:val="0"/>
          <w:i/>
          <w:sz w:val="18"/>
          <w:szCs w:val="18"/>
        </w:rPr>
        <w:t>Centella</w:t>
      </w:r>
      <w:proofErr w:type="spellEnd"/>
      <w:r w:rsidRPr="00B1736C">
        <w:rPr>
          <w:rFonts w:ascii="Tw Cen MT" w:eastAsia="Tw Cen MT" w:hAnsi="Tw Cen MT" w:cs="Tw Cen MT"/>
          <w:b w:val="0"/>
          <w:bCs w:val="0"/>
          <w:i/>
          <w:sz w:val="18"/>
          <w:szCs w:val="18"/>
        </w:rPr>
        <w:t xml:space="preserve"> </w:t>
      </w:r>
      <w:proofErr w:type="spellStart"/>
      <w:r w:rsidRPr="00B1736C">
        <w:rPr>
          <w:rFonts w:ascii="Tw Cen MT" w:eastAsia="Tw Cen MT" w:hAnsi="Tw Cen MT" w:cs="Tw Cen MT"/>
          <w:b w:val="0"/>
          <w:bCs w:val="0"/>
          <w:i/>
          <w:sz w:val="18"/>
          <w:szCs w:val="18"/>
        </w:rPr>
        <w:t>asiatica</w:t>
      </w:r>
      <w:proofErr w:type="spellEnd"/>
      <w:r w:rsidRPr="00B1736C">
        <w:rPr>
          <w:rFonts w:ascii="Tw Cen MT" w:eastAsia="Tw Cen MT" w:hAnsi="Tw Cen MT" w:cs="Tw Cen MT"/>
          <w:b w:val="0"/>
          <w:bCs w:val="0"/>
          <w:sz w:val="18"/>
          <w:szCs w:val="18"/>
        </w:rPr>
        <w:t xml:space="preserve"> (CA) is a </w:t>
      </w:r>
      <w:proofErr w:type="gramStart"/>
      <w:r w:rsidRPr="00B1736C">
        <w:rPr>
          <w:rFonts w:ascii="Tw Cen MT" w:eastAsia="Tw Cen MT" w:hAnsi="Tw Cen MT" w:cs="Tw Cen MT"/>
          <w:b w:val="0"/>
          <w:bCs w:val="0"/>
          <w:sz w:val="18"/>
          <w:szCs w:val="18"/>
        </w:rPr>
        <w:t>well-known herbs</w:t>
      </w:r>
      <w:proofErr w:type="gramEnd"/>
      <w:r w:rsidRPr="00B1736C">
        <w:rPr>
          <w:rFonts w:ascii="Tw Cen MT" w:eastAsia="Tw Cen MT" w:hAnsi="Tw Cen MT" w:cs="Tw Cen MT"/>
          <w:b w:val="0"/>
          <w:bCs w:val="0"/>
          <w:sz w:val="18"/>
          <w:szCs w:val="18"/>
        </w:rPr>
        <w:t xml:space="preserve"> used as oxidative-stress remedy. Literature review was conducted to determine its potency in preventing CVD by searching two journal databases, PubMed and </w:t>
      </w:r>
      <w:proofErr w:type="spellStart"/>
      <w:r w:rsidRPr="00B1736C">
        <w:rPr>
          <w:rFonts w:ascii="Tw Cen MT" w:eastAsia="Tw Cen MT" w:hAnsi="Tw Cen MT" w:cs="Tw Cen MT"/>
          <w:b w:val="0"/>
          <w:bCs w:val="0"/>
          <w:sz w:val="18"/>
          <w:szCs w:val="18"/>
        </w:rPr>
        <w:t>Ebscohost</w:t>
      </w:r>
      <w:proofErr w:type="spellEnd"/>
      <w:r w:rsidRPr="00B1736C">
        <w:rPr>
          <w:rFonts w:ascii="Tw Cen MT" w:eastAsia="Tw Cen MT" w:hAnsi="Tw Cen MT" w:cs="Tw Cen MT"/>
          <w:b w:val="0"/>
          <w:bCs w:val="0"/>
          <w:sz w:val="18"/>
          <w:szCs w:val="18"/>
        </w:rPr>
        <w:t>. The search was carried out using Boolean Operator as follows: cardiovascular AND therapy AND "</w:t>
      </w:r>
      <w:proofErr w:type="spellStart"/>
      <w:r w:rsidRPr="00B1736C">
        <w:rPr>
          <w:rFonts w:ascii="Tw Cen MT" w:eastAsia="Tw Cen MT" w:hAnsi="Tw Cen MT" w:cs="Tw Cen MT"/>
          <w:b w:val="0"/>
          <w:bCs w:val="0"/>
          <w:i/>
          <w:sz w:val="18"/>
          <w:szCs w:val="18"/>
        </w:rPr>
        <w:t>Centella</w:t>
      </w:r>
      <w:proofErr w:type="spellEnd"/>
      <w:r w:rsidRPr="00B1736C">
        <w:rPr>
          <w:rFonts w:ascii="Tw Cen MT" w:eastAsia="Tw Cen MT" w:hAnsi="Tw Cen MT" w:cs="Tw Cen MT"/>
          <w:b w:val="0"/>
          <w:bCs w:val="0"/>
          <w:i/>
          <w:sz w:val="18"/>
          <w:szCs w:val="18"/>
        </w:rPr>
        <w:t xml:space="preserve"> </w:t>
      </w:r>
      <w:proofErr w:type="spellStart"/>
      <w:r w:rsidRPr="00B1736C">
        <w:rPr>
          <w:rFonts w:ascii="Tw Cen MT" w:eastAsia="Tw Cen MT" w:hAnsi="Tw Cen MT" w:cs="Tw Cen MT"/>
          <w:b w:val="0"/>
          <w:bCs w:val="0"/>
          <w:i/>
          <w:sz w:val="18"/>
          <w:szCs w:val="18"/>
        </w:rPr>
        <w:t>asiatica</w:t>
      </w:r>
      <w:proofErr w:type="spellEnd"/>
      <w:r w:rsidRPr="00B1736C">
        <w:rPr>
          <w:rFonts w:ascii="Tw Cen MT" w:eastAsia="Tw Cen MT" w:hAnsi="Tw Cen MT" w:cs="Tw Cen MT"/>
          <w:b w:val="0"/>
          <w:bCs w:val="0"/>
          <w:sz w:val="18"/>
          <w:szCs w:val="18"/>
        </w:rPr>
        <w:t>". Sources are not year-limited and includes animal studies, RCT reports or related reviews.</w:t>
      </w:r>
    </w:p>
    <w:p w:rsidR="00B1736C" w:rsidRDefault="00B1736C" w:rsidP="00B1736C">
      <w:pPr>
        <w:pStyle w:val="Heading3"/>
        <w:spacing w:before="74"/>
        <w:jc w:val="both"/>
        <w:rPr>
          <w:rFonts w:ascii="Tw Cen MT" w:eastAsia="Tw Cen MT" w:hAnsi="Tw Cen MT" w:cs="Tw Cen MT"/>
          <w:b w:val="0"/>
          <w:bCs w:val="0"/>
          <w:sz w:val="18"/>
          <w:szCs w:val="18"/>
        </w:rPr>
      </w:pPr>
      <w:r w:rsidRPr="00B1736C">
        <w:rPr>
          <w:rFonts w:ascii="Tw Cen MT" w:eastAsia="Tw Cen MT" w:hAnsi="Tw Cen MT" w:cs="Tw Cen MT"/>
          <w:b w:val="0"/>
          <w:bCs w:val="0"/>
          <w:sz w:val="18"/>
          <w:szCs w:val="18"/>
        </w:rPr>
        <w:t xml:space="preserve">Based on literature </w:t>
      </w:r>
      <w:proofErr w:type="spellStart"/>
      <w:r w:rsidRPr="00B1736C">
        <w:rPr>
          <w:rFonts w:ascii="Tw Cen MT" w:eastAsia="Tw Cen MT" w:hAnsi="Tw Cen MT" w:cs="Tw Cen MT"/>
          <w:b w:val="0"/>
          <w:bCs w:val="0"/>
          <w:sz w:val="18"/>
          <w:szCs w:val="18"/>
        </w:rPr>
        <w:t>reviw</w:t>
      </w:r>
      <w:proofErr w:type="spellEnd"/>
      <w:r w:rsidRPr="00B1736C">
        <w:rPr>
          <w:rFonts w:ascii="Tw Cen MT" w:eastAsia="Tw Cen MT" w:hAnsi="Tw Cen MT" w:cs="Tw Cen MT"/>
          <w:b w:val="0"/>
          <w:bCs w:val="0"/>
          <w:sz w:val="18"/>
          <w:szCs w:val="18"/>
        </w:rPr>
        <w:t xml:space="preserve">, there are various studies linking the protective effect of CA on CVD. In vivo study conducted by Ramachandran </w:t>
      </w:r>
      <w:r w:rsidRPr="00B1736C">
        <w:rPr>
          <w:rFonts w:ascii="Tw Cen MT" w:eastAsia="Tw Cen MT" w:hAnsi="Tw Cen MT" w:cs="Tw Cen MT"/>
          <w:b w:val="0"/>
          <w:bCs w:val="0"/>
          <w:i/>
          <w:sz w:val="18"/>
          <w:szCs w:val="18"/>
        </w:rPr>
        <w:t>et al</w:t>
      </w:r>
      <w:r w:rsidRPr="00B1736C">
        <w:rPr>
          <w:rFonts w:ascii="Tw Cen MT" w:eastAsia="Tw Cen MT" w:hAnsi="Tw Cen MT" w:cs="Tw Cen MT"/>
          <w:b w:val="0"/>
          <w:bCs w:val="0"/>
          <w:sz w:val="18"/>
          <w:szCs w:val="18"/>
        </w:rPr>
        <w:t xml:space="preserve"> showed that in mice with DM, lipid profiles of DM mice were given </w:t>
      </w:r>
      <w:proofErr w:type="spellStart"/>
      <w:r w:rsidRPr="00B1736C">
        <w:rPr>
          <w:rFonts w:ascii="Tw Cen MT" w:eastAsia="Tw Cen MT" w:hAnsi="Tw Cen MT" w:cs="Tw Cen MT"/>
          <w:b w:val="0"/>
          <w:bCs w:val="0"/>
          <w:sz w:val="18"/>
          <w:szCs w:val="18"/>
        </w:rPr>
        <w:t>asiatic</w:t>
      </w:r>
      <w:proofErr w:type="spellEnd"/>
      <w:r w:rsidRPr="00B1736C">
        <w:rPr>
          <w:rFonts w:ascii="Tw Cen MT" w:eastAsia="Tw Cen MT" w:hAnsi="Tw Cen MT" w:cs="Tw Cen MT"/>
          <w:b w:val="0"/>
          <w:bCs w:val="0"/>
          <w:sz w:val="18"/>
          <w:szCs w:val="18"/>
        </w:rPr>
        <w:t xml:space="preserve"> acid shifted towards normalcy which reduce the risk of atherosclerotic plaque formation. RCT studies conducted by </w:t>
      </w:r>
      <w:proofErr w:type="spellStart"/>
      <w:r w:rsidRPr="00B1736C">
        <w:rPr>
          <w:rFonts w:ascii="Tw Cen MT" w:eastAsia="Tw Cen MT" w:hAnsi="Tw Cen MT" w:cs="Tw Cen MT"/>
          <w:b w:val="0"/>
          <w:bCs w:val="0"/>
          <w:sz w:val="18"/>
          <w:szCs w:val="18"/>
        </w:rPr>
        <w:t>Cesarone</w:t>
      </w:r>
      <w:proofErr w:type="spellEnd"/>
      <w:r w:rsidRPr="00B1736C">
        <w:rPr>
          <w:rFonts w:ascii="Tw Cen MT" w:eastAsia="Tw Cen MT" w:hAnsi="Tw Cen MT" w:cs="Tw Cen MT"/>
          <w:b w:val="0"/>
          <w:bCs w:val="0"/>
          <w:sz w:val="18"/>
          <w:szCs w:val="18"/>
        </w:rPr>
        <w:t xml:space="preserve"> </w:t>
      </w:r>
      <w:r w:rsidRPr="00B1736C">
        <w:rPr>
          <w:rFonts w:ascii="Tw Cen MT" w:eastAsia="Tw Cen MT" w:hAnsi="Tw Cen MT" w:cs="Tw Cen MT"/>
          <w:b w:val="0"/>
          <w:bCs w:val="0"/>
          <w:i/>
          <w:sz w:val="18"/>
          <w:szCs w:val="18"/>
        </w:rPr>
        <w:t>et al</w:t>
      </w:r>
      <w:r w:rsidRPr="00B1736C">
        <w:rPr>
          <w:rFonts w:ascii="Tw Cen MT" w:eastAsia="Tw Cen MT" w:hAnsi="Tw Cen MT" w:cs="Tw Cen MT"/>
          <w:b w:val="0"/>
          <w:bCs w:val="0"/>
          <w:sz w:val="18"/>
          <w:szCs w:val="18"/>
        </w:rPr>
        <w:t xml:space="preserve"> showed that in the group given CA therapy for 12 months, there was an increase in GSM parameters and an improvement in the texture of atherosclerotic plaques which showed the formation of stable with low risk for thrombus. RCT study conducted by </w:t>
      </w:r>
      <w:proofErr w:type="spellStart"/>
      <w:r w:rsidRPr="00B1736C">
        <w:rPr>
          <w:rFonts w:ascii="Tw Cen MT" w:eastAsia="Tw Cen MT" w:hAnsi="Tw Cen MT" w:cs="Tw Cen MT"/>
          <w:b w:val="0"/>
          <w:bCs w:val="0"/>
          <w:sz w:val="18"/>
          <w:szCs w:val="18"/>
        </w:rPr>
        <w:t>Luzzi</w:t>
      </w:r>
      <w:proofErr w:type="spellEnd"/>
      <w:r w:rsidRPr="00B1736C">
        <w:rPr>
          <w:rFonts w:ascii="Tw Cen MT" w:eastAsia="Tw Cen MT" w:hAnsi="Tw Cen MT" w:cs="Tw Cen MT"/>
          <w:b w:val="0"/>
          <w:bCs w:val="0"/>
          <w:sz w:val="18"/>
          <w:szCs w:val="18"/>
        </w:rPr>
        <w:t xml:space="preserve"> </w:t>
      </w:r>
      <w:r w:rsidRPr="00B1736C">
        <w:rPr>
          <w:rFonts w:ascii="Tw Cen MT" w:eastAsia="Tw Cen MT" w:hAnsi="Tw Cen MT" w:cs="Tw Cen MT"/>
          <w:b w:val="0"/>
          <w:bCs w:val="0"/>
          <w:i/>
          <w:sz w:val="18"/>
          <w:szCs w:val="18"/>
        </w:rPr>
        <w:t>et al</w:t>
      </w:r>
      <w:r w:rsidRPr="00B1736C">
        <w:rPr>
          <w:rFonts w:ascii="Tw Cen MT" w:eastAsia="Tw Cen MT" w:hAnsi="Tw Cen MT" w:cs="Tw Cen MT"/>
          <w:b w:val="0"/>
          <w:bCs w:val="0"/>
          <w:sz w:val="18"/>
          <w:szCs w:val="18"/>
        </w:rPr>
        <w:t xml:space="preserve"> on high-oxidative stress asymptomatic patients given </w:t>
      </w:r>
      <w:proofErr w:type="spellStart"/>
      <w:r w:rsidRPr="00B1736C">
        <w:rPr>
          <w:rFonts w:ascii="Tw Cen MT" w:eastAsia="Tw Cen MT" w:hAnsi="Tw Cen MT" w:cs="Tw Cen MT"/>
          <w:b w:val="0"/>
          <w:bCs w:val="0"/>
          <w:sz w:val="18"/>
          <w:szCs w:val="18"/>
        </w:rPr>
        <w:t>Pycnogenol</w:t>
      </w:r>
      <w:proofErr w:type="spellEnd"/>
      <w:r w:rsidRPr="00B1736C">
        <w:rPr>
          <w:rFonts w:ascii="Tw Cen MT" w:eastAsia="Tw Cen MT" w:hAnsi="Tw Cen MT" w:cs="Tw Cen MT"/>
          <w:b w:val="0"/>
          <w:bCs w:val="0"/>
          <w:sz w:val="18"/>
          <w:szCs w:val="18"/>
        </w:rPr>
        <w:t xml:space="preserve"> and CA extract showed an increase in the stability of atherosclerotic plaque as indicated by an increase in plaque density, decrease in the number and size of plaques. These results indicate the potential of CA as a good preventive cardiovascular therapy.</w:t>
      </w:r>
    </w:p>
    <w:p w:rsidR="005973B9" w:rsidRDefault="00A9710C" w:rsidP="003C3527">
      <w:pPr>
        <w:pStyle w:val="Heading3"/>
        <w:spacing w:before="240"/>
        <w:ind w:left="102"/>
        <w:jc w:val="both"/>
        <w:rPr>
          <w:b w:val="0"/>
        </w:rPr>
      </w:pPr>
      <w:r>
        <w:rPr>
          <w:b w:val="0"/>
        </w:rPr>
        <w:br w:type="column"/>
      </w:r>
      <w:r w:rsidR="00D95E31">
        <w:rPr>
          <w:color w:val="BF5A14"/>
        </w:rPr>
        <w:t>References</w:t>
      </w:r>
    </w:p>
    <w:p w:rsidR="00D12D0B" w:rsidRDefault="00D12D0B" w:rsidP="00D12D0B">
      <w:pPr>
        <w:pStyle w:val="ListParagraph"/>
        <w:tabs>
          <w:tab w:val="left" w:pos="284"/>
        </w:tabs>
        <w:spacing w:before="0"/>
        <w:ind w:left="567" w:right="117" w:firstLine="0"/>
        <w:rPr>
          <w:sz w:val="18"/>
        </w:rPr>
      </w:pPr>
    </w:p>
    <w:p w:rsidR="003C3527" w:rsidRPr="003C3527" w:rsidRDefault="003C3527" w:rsidP="00D12D0B">
      <w:pPr>
        <w:pStyle w:val="ListParagraph"/>
        <w:numPr>
          <w:ilvl w:val="0"/>
          <w:numId w:val="5"/>
        </w:numPr>
        <w:tabs>
          <w:tab w:val="left" w:pos="284"/>
        </w:tabs>
        <w:spacing w:before="0"/>
        <w:ind w:left="567" w:right="119"/>
        <w:rPr>
          <w:sz w:val="18"/>
        </w:rPr>
      </w:pPr>
      <w:r w:rsidRPr="003C3527">
        <w:rPr>
          <w:sz w:val="18"/>
        </w:rPr>
        <w:t>Cardiovascular diseases (CVDs) [Internet]. World Health Organization. 2018 [cited 17 September 2018]. Available from: http://www.who.int/cardiovascular_diseases/en/</w:t>
      </w:r>
    </w:p>
    <w:p w:rsidR="003C3527" w:rsidRPr="003C3527" w:rsidRDefault="003C3527" w:rsidP="00D12D0B">
      <w:pPr>
        <w:tabs>
          <w:tab w:val="left" w:pos="284"/>
        </w:tabs>
        <w:ind w:left="567" w:right="119"/>
        <w:rPr>
          <w:rFonts w:ascii="Calibri" w:eastAsia="Calibri" w:hAnsi="Calibri" w:cs="Calibri"/>
          <w:sz w:val="18"/>
        </w:rPr>
      </w:pPr>
    </w:p>
    <w:p w:rsidR="003C3527" w:rsidRPr="003C3527" w:rsidRDefault="003C3527" w:rsidP="00D12D0B">
      <w:pPr>
        <w:pStyle w:val="ListParagraph"/>
        <w:numPr>
          <w:ilvl w:val="0"/>
          <w:numId w:val="5"/>
        </w:numPr>
        <w:tabs>
          <w:tab w:val="left" w:pos="284"/>
        </w:tabs>
        <w:spacing w:before="0"/>
        <w:ind w:left="567" w:right="119"/>
        <w:rPr>
          <w:sz w:val="18"/>
        </w:rPr>
      </w:pPr>
      <w:r w:rsidRPr="003C3527">
        <w:rPr>
          <w:sz w:val="18"/>
        </w:rPr>
        <w:t xml:space="preserve">Ramachandran V, Saravanan R, </w:t>
      </w:r>
      <w:proofErr w:type="spellStart"/>
      <w:r w:rsidRPr="003C3527">
        <w:rPr>
          <w:sz w:val="18"/>
        </w:rPr>
        <w:t>Senthilraja</w:t>
      </w:r>
      <w:proofErr w:type="spellEnd"/>
      <w:r w:rsidRPr="003C3527">
        <w:rPr>
          <w:sz w:val="18"/>
        </w:rPr>
        <w:t xml:space="preserve"> P. Antidiabetic and antihyperlipidemic activity of </w:t>
      </w:r>
      <w:proofErr w:type="spellStart"/>
      <w:r w:rsidRPr="003C3527">
        <w:rPr>
          <w:sz w:val="18"/>
        </w:rPr>
        <w:t>asiatic</w:t>
      </w:r>
      <w:proofErr w:type="spellEnd"/>
      <w:r w:rsidRPr="003C3527">
        <w:rPr>
          <w:sz w:val="18"/>
        </w:rPr>
        <w:t xml:space="preserve"> acid in diabetic rats, role of HMG CoA: In vivo and in silico approaches. Phytomedicine. 2014;21(3):225-232.</w:t>
      </w:r>
    </w:p>
    <w:p w:rsidR="003C3527" w:rsidRPr="003C3527" w:rsidRDefault="003C3527" w:rsidP="00D12D0B">
      <w:pPr>
        <w:tabs>
          <w:tab w:val="left" w:pos="284"/>
        </w:tabs>
        <w:ind w:left="567" w:right="119"/>
        <w:rPr>
          <w:rFonts w:ascii="Calibri" w:eastAsia="Calibri" w:hAnsi="Calibri" w:cs="Calibri"/>
          <w:sz w:val="18"/>
        </w:rPr>
      </w:pPr>
    </w:p>
    <w:p w:rsidR="00D12D0B" w:rsidRPr="00D12D0B" w:rsidRDefault="003C3527" w:rsidP="00D12D0B">
      <w:pPr>
        <w:pStyle w:val="ListParagraph"/>
        <w:numPr>
          <w:ilvl w:val="0"/>
          <w:numId w:val="5"/>
        </w:numPr>
        <w:tabs>
          <w:tab w:val="left" w:pos="284"/>
        </w:tabs>
        <w:spacing w:before="0"/>
        <w:ind w:left="567" w:right="119"/>
      </w:pPr>
      <w:proofErr w:type="spellStart"/>
      <w:r w:rsidRPr="003C3527">
        <w:rPr>
          <w:sz w:val="18"/>
        </w:rPr>
        <w:t>Cesarone</w:t>
      </w:r>
      <w:proofErr w:type="spellEnd"/>
      <w:r w:rsidRPr="003C3527">
        <w:rPr>
          <w:sz w:val="18"/>
        </w:rPr>
        <w:t xml:space="preserve"> M, </w:t>
      </w:r>
      <w:proofErr w:type="spellStart"/>
      <w:r w:rsidRPr="003C3527">
        <w:rPr>
          <w:sz w:val="18"/>
        </w:rPr>
        <w:t>Belcaro</w:t>
      </w:r>
      <w:proofErr w:type="spellEnd"/>
      <w:r w:rsidRPr="003C3527">
        <w:rPr>
          <w:sz w:val="18"/>
        </w:rPr>
        <w:t xml:space="preserve"> G, Nicolaides A, </w:t>
      </w:r>
      <w:proofErr w:type="spellStart"/>
      <w:r w:rsidRPr="003C3527">
        <w:rPr>
          <w:sz w:val="18"/>
        </w:rPr>
        <w:t>Geroulakos</w:t>
      </w:r>
      <w:proofErr w:type="spellEnd"/>
      <w:r w:rsidRPr="003C3527">
        <w:rPr>
          <w:sz w:val="18"/>
        </w:rPr>
        <w:t xml:space="preserve"> G, Bucci M, </w:t>
      </w:r>
      <w:proofErr w:type="spellStart"/>
      <w:r w:rsidRPr="003C3527">
        <w:rPr>
          <w:sz w:val="18"/>
        </w:rPr>
        <w:t>Dugall</w:t>
      </w:r>
      <w:proofErr w:type="spellEnd"/>
      <w:r w:rsidRPr="003C3527">
        <w:rPr>
          <w:sz w:val="18"/>
        </w:rPr>
        <w:t xml:space="preserve"> M et al. Increase in Echogenicity of </w:t>
      </w:r>
      <w:proofErr w:type="spellStart"/>
      <w:r w:rsidRPr="003C3527">
        <w:rPr>
          <w:sz w:val="18"/>
        </w:rPr>
        <w:t>Echolucent</w:t>
      </w:r>
      <w:proofErr w:type="spellEnd"/>
      <w:r w:rsidRPr="003C3527">
        <w:rPr>
          <w:sz w:val="18"/>
        </w:rPr>
        <w:t xml:space="preserve"> Carotid Plaques after Treatment with Total </w:t>
      </w:r>
      <w:proofErr w:type="spellStart"/>
      <w:r w:rsidRPr="003C3527">
        <w:rPr>
          <w:sz w:val="18"/>
        </w:rPr>
        <w:t>Triterpenic</w:t>
      </w:r>
      <w:proofErr w:type="spellEnd"/>
      <w:r w:rsidRPr="003C3527">
        <w:rPr>
          <w:sz w:val="18"/>
        </w:rPr>
        <w:t xml:space="preserve"> Fraction of </w:t>
      </w:r>
      <w:proofErr w:type="spellStart"/>
      <w:r w:rsidRPr="003C3527">
        <w:rPr>
          <w:sz w:val="18"/>
        </w:rPr>
        <w:t>Centella</w:t>
      </w:r>
      <w:proofErr w:type="spellEnd"/>
      <w:r w:rsidRPr="003C3527">
        <w:rPr>
          <w:sz w:val="18"/>
        </w:rPr>
        <w:t xml:space="preserve"> </w:t>
      </w:r>
      <w:proofErr w:type="spellStart"/>
      <w:r w:rsidRPr="003C3527">
        <w:rPr>
          <w:sz w:val="18"/>
        </w:rPr>
        <w:t>asiatica</w:t>
      </w:r>
      <w:proofErr w:type="spellEnd"/>
      <w:r w:rsidRPr="003C3527">
        <w:rPr>
          <w:sz w:val="18"/>
        </w:rPr>
        <w:t>: A Prospective, Placebo-Controlled, Randomized Trial. Angiology. 2001;52(2_suppl</w:t>
      </w:r>
      <w:proofErr w:type="gramStart"/>
      <w:r w:rsidRPr="003C3527">
        <w:rPr>
          <w:sz w:val="18"/>
        </w:rPr>
        <w:t>):S</w:t>
      </w:r>
      <w:proofErr w:type="gramEnd"/>
      <w:r w:rsidRPr="003C3527">
        <w:rPr>
          <w:sz w:val="18"/>
        </w:rPr>
        <w:t>19-S25.</w:t>
      </w:r>
    </w:p>
    <w:p w:rsidR="00D12D0B" w:rsidRPr="00D12D0B" w:rsidRDefault="00D12D0B" w:rsidP="00D12D0B">
      <w:pPr>
        <w:pStyle w:val="ListParagraph"/>
        <w:rPr>
          <w:sz w:val="18"/>
        </w:rPr>
      </w:pPr>
    </w:p>
    <w:p w:rsidR="00D12D0B" w:rsidRPr="00D12D0B" w:rsidRDefault="00D12D0B" w:rsidP="00D12D0B">
      <w:pPr>
        <w:pStyle w:val="ListParagraph"/>
        <w:numPr>
          <w:ilvl w:val="0"/>
          <w:numId w:val="5"/>
        </w:numPr>
        <w:tabs>
          <w:tab w:val="left" w:pos="284"/>
        </w:tabs>
        <w:spacing w:before="0"/>
        <w:ind w:left="567" w:right="119"/>
        <w:rPr>
          <w:sz w:val="18"/>
        </w:rPr>
      </w:pPr>
      <w:r w:rsidRPr="00D12D0B">
        <w:rPr>
          <w:sz w:val="18"/>
          <w:lang w:val="id-ID"/>
        </w:rPr>
        <w:t>Luzzi R, Belcaro G, Ippolito E. Carotid plaque stabilization induced by the supplement association Pycnogenol and centella asiatica (Centellicum). 2016;</w:t>
      </w:r>
      <w:r w:rsidRPr="00D12D0B">
        <w:rPr>
          <w:sz w:val="18"/>
        </w:rPr>
        <w:t xml:space="preserve"> </w:t>
      </w:r>
      <w:r w:rsidRPr="00D12D0B">
        <w:rPr>
          <w:sz w:val="18"/>
          <w:lang w:val="id-ID"/>
        </w:rPr>
        <w:t>64(6):603-9.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B1736C" w:rsidRDefault="00B1736C">
      <w:pPr>
        <w:pStyle w:val="BodyText"/>
        <w:rPr>
          <w:rFonts w:ascii="Calibri"/>
          <w:sz w:val="20"/>
        </w:rPr>
      </w:pPr>
    </w:p>
    <w:p w:rsidR="00B1736C" w:rsidRDefault="00B1736C">
      <w:pPr>
        <w:pStyle w:val="BodyText"/>
        <w:rPr>
          <w:rFonts w:ascii="Calibri"/>
          <w:sz w:val="20"/>
        </w:rPr>
      </w:pPr>
    </w:p>
    <w:p w:rsidR="00B1736C" w:rsidRDefault="00B1736C">
      <w:pPr>
        <w:pStyle w:val="BodyText"/>
        <w:rPr>
          <w:rFonts w:ascii="Calibri"/>
          <w:sz w:val="20"/>
        </w:rPr>
      </w:pPr>
    </w:p>
    <w:p w:rsidR="00B1736C" w:rsidRDefault="00B1736C">
      <w:pPr>
        <w:pStyle w:val="BodyText"/>
        <w:rPr>
          <w:rFonts w:ascii="Calibri"/>
          <w:sz w:val="20"/>
        </w:rPr>
      </w:pPr>
    </w:p>
    <w:p w:rsidR="003C3527" w:rsidRDefault="003C3527">
      <w:pPr>
        <w:pStyle w:val="BodyText"/>
        <w:rPr>
          <w:rFonts w:ascii="Calibri"/>
          <w:sz w:val="20"/>
        </w:rPr>
      </w:pPr>
    </w:p>
    <w:p w:rsidR="00B1736C" w:rsidRDefault="00B1736C">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E9F67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F128BE" w:rsidRPr="00F128BE" w:rsidRDefault="00F128BE">
      <w:pPr>
        <w:spacing w:before="41" w:line="154" w:lineRule="exact"/>
        <w:ind w:left="213" w:right="231"/>
        <w:jc w:val="both"/>
        <w:rPr>
          <w:rFonts w:ascii="Arial"/>
          <w:sz w:val="14"/>
          <w:lang w:val="id-ID"/>
        </w:rPr>
      </w:pPr>
      <w:r>
        <w:rPr>
          <w:rFonts w:ascii="Arial"/>
          <w:sz w:val="14"/>
          <w:lang w:val="id-ID"/>
        </w:rPr>
        <w:t xml:space="preserve">Nindya Permata Bunda Surya Utami is an undergraduate students of FMUI who has high interest in doing research. She is dedicated toward her study and always eager to learn new things. </w:t>
      </w:r>
      <w:r w:rsidR="003C3527">
        <w:rPr>
          <w:rFonts w:ascii="Arial"/>
          <w:sz w:val="14"/>
          <w:lang w:val="id-ID"/>
        </w:rPr>
        <w:t xml:space="preserve">In the future, she hope to be good clinician who aware about her patients and health development in general. </w:t>
      </w:r>
    </w:p>
    <w:p w:rsidR="00AE3E37" w:rsidRDefault="00A9710C">
      <w:pPr>
        <w:spacing w:before="62"/>
        <w:ind w:left="4217" w:right="4235"/>
        <w:jc w:val="center"/>
        <w:rPr>
          <w:rFonts w:ascii="Arial"/>
          <w:sz w:val="14"/>
        </w:rPr>
      </w:pPr>
      <w:r>
        <w:rPr>
          <w:rFonts w:ascii="Arial"/>
          <w:sz w:val="14"/>
        </w:rPr>
        <w:t xml:space="preserve">Email: </w:t>
      </w:r>
      <w:hyperlink r:id="rId10" w:history="1">
        <w:r w:rsidR="003C3527" w:rsidRPr="00553FD2">
          <w:rPr>
            <w:rStyle w:val="Hyperlink"/>
            <w:rFonts w:ascii="Arial"/>
            <w:sz w:val="14"/>
            <w:lang w:val="id-ID"/>
          </w:rPr>
          <w:t>nin.bio97@gmail.com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ECA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4F41FA">
      <w:pPr>
        <w:pStyle w:val="BodyText"/>
        <w:spacing w:before="3"/>
        <w:rPr>
          <w:rFonts w:ascii="Minion Pro"/>
          <w:sz w:val="26"/>
        </w:rPr>
      </w:pPr>
      <w:r>
        <w:rPr>
          <w:rFonts w:ascii="Minion Pro"/>
          <w:sz w:val="26"/>
        </w:rPr>
        <w:t xml:space="preserve"> </w:t>
      </w: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A00" w:rsidRDefault="00D50A00">
      <w:r>
        <w:separator/>
      </w:r>
    </w:p>
  </w:endnote>
  <w:endnote w:type="continuationSeparator" w:id="0">
    <w:p w:rsidR="00D50A00" w:rsidRDefault="00D50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A00" w:rsidRDefault="00D50A00">
      <w:r>
        <w:separator/>
      </w:r>
    </w:p>
  </w:footnote>
  <w:footnote w:type="continuationSeparator" w:id="0">
    <w:p w:rsidR="00D50A00" w:rsidRDefault="00D50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778F3"/>
    <w:multiLevelType w:val="hybridMultilevel"/>
    <w:tmpl w:val="970AF07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5BD606D"/>
    <w:multiLevelType w:val="hybridMultilevel"/>
    <w:tmpl w:val="FD0ECC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109B"/>
    <w:rsid w:val="00292ED9"/>
    <w:rsid w:val="002B45DB"/>
    <w:rsid w:val="003C3527"/>
    <w:rsid w:val="00404E5B"/>
    <w:rsid w:val="00414F7B"/>
    <w:rsid w:val="004355DC"/>
    <w:rsid w:val="004473B6"/>
    <w:rsid w:val="004749B4"/>
    <w:rsid w:val="00494130"/>
    <w:rsid w:val="004F3523"/>
    <w:rsid w:val="004F41FA"/>
    <w:rsid w:val="005973B9"/>
    <w:rsid w:val="005B3A56"/>
    <w:rsid w:val="006060CE"/>
    <w:rsid w:val="0063497F"/>
    <w:rsid w:val="00873DF0"/>
    <w:rsid w:val="008756E6"/>
    <w:rsid w:val="009435D3"/>
    <w:rsid w:val="009B2D44"/>
    <w:rsid w:val="00A07E82"/>
    <w:rsid w:val="00A9710C"/>
    <w:rsid w:val="00AE3E37"/>
    <w:rsid w:val="00B1736C"/>
    <w:rsid w:val="00B21A57"/>
    <w:rsid w:val="00BC601E"/>
    <w:rsid w:val="00C33602"/>
    <w:rsid w:val="00CD6F55"/>
    <w:rsid w:val="00D12D0B"/>
    <w:rsid w:val="00D50A00"/>
    <w:rsid w:val="00D95E31"/>
    <w:rsid w:val="00DE3104"/>
    <w:rsid w:val="00F128B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ECA03"/>
  <w15:docId w15:val="{83EF41FE-AE67-486B-98FB-C69583A5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C3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698350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6516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in.bio97@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nindya permata</cp:lastModifiedBy>
  <cp:revision>15</cp:revision>
  <dcterms:created xsi:type="dcterms:W3CDTF">2016-08-31T10:27:00Z</dcterms:created>
  <dcterms:modified xsi:type="dcterms:W3CDTF">2018-09-17T13:41:00Z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