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56F" w:rsidRDefault="00C673ED" w:rsidP="002F6F0D">
      <w:pPr>
        <w:pStyle w:val="a3"/>
        <w:spacing w:before="73" w:line="198" w:lineRule="exact"/>
        <w:ind w:left="100" w:right="58"/>
        <w:rPr>
          <w:rFonts w:asciiTheme="minorEastAsia" w:eastAsiaTheme="minorEastAsia" w:hAnsiTheme="minorEastAsia"/>
          <w:lang w:eastAsia="ja-JP"/>
        </w:rPr>
      </w:pPr>
      <w:r w:rsidRPr="00C673ED">
        <w:rPr>
          <w:rFonts w:ascii="Minion Pro" w:eastAsia="Minion Pro" w:hAnsi="Minion Pro" w:cs="Minion Pro"/>
          <w:b/>
          <w:bCs/>
          <w:color w:val="337AB7"/>
          <w:sz w:val="36"/>
          <w:szCs w:val="36"/>
        </w:rPr>
        <w:t xml:space="preserve">Hospital resilience in deep vein thrombosis preventive </w:t>
      </w:r>
      <w:proofErr w:type="gramStart"/>
      <w:r w:rsidRPr="00C673ED">
        <w:rPr>
          <w:rFonts w:ascii="Minion Pro" w:eastAsia="Minion Pro" w:hAnsi="Minion Pro" w:cs="Minion Pro"/>
          <w:b/>
          <w:bCs/>
          <w:color w:val="337AB7"/>
          <w:sz w:val="36"/>
          <w:szCs w:val="36"/>
        </w:rPr>
        <w:t xml:space="preserve">measures </w:t>
      </w:r>
      <w:r w:rsidR="005973B9">
        <w:rPr>
          <w:rFonts w:ascii="Arial"/>
        </w:rPr>
        <w:t xml:space="preserve"> </w:t>
      </w:r>
      <w:r w:rsidR="002F6F0D" w:rsidRPr="00797A90">
        <w:rPr>
          <w:rFonts w:ascii="Arial" w:hint="eastAsia"/>
        </w:rPr>
        <w:t>Genki</w:t>
      </w:r>
      <w:proofErr w:type="gramEnd"/>
      <w:r w:rsidR="002F6F0D" w:rsidRPr="00797A90">
        <w:rPr>
          <w:rFonts w:ascii="Arial" w:hint="eastAsia"/>
        </w:rPr>
        <w:t xml:space="preserve"> Murakami</w:t>
      </w:r>
      <w:r w:rsidR="005973B9">
        <w:rPr>
          <w:rFonts w:ascii="Arial"/>
        </w:rPr>
        <w:t xml:space="preserve">, PhD, </w:t>
      </w:r>
      <w:r w:rsidR="0037356F" w:rsidRPr="0037356F">
        <w:rPr>
          <w:rFonts w:ascii="Arial"/>
        </w:rPr>
        <w:t>University of Occupational and Environmental Health</w:t>
      </w:r>
      <w:r w:rsidR="005973B9">
        <w:rPr>
          <w:rFonts w:ascii="Arial"/>
        </w:rPr>
        <w:t xml:space="preserve">, </w:t>
      </w:r>
      <w:r w:rsidR="002F6F0D" w:rsidRPr="00797A90">
        <w:rPr>
          <w:rFonts w:ascii="Arial" w:hint="eastAsia"/>
        </w:rPr>
        <w:t xml:space="preserve">JAPAN </w:t>
      </w:r>
    </w:p>
    <w:p w:rsidR="005973B9" w:rsidRDefault="00797A90" w:rsidP="002F6F0D">
      <w:pPr>
        <w:pStyle w:val="a3"/>
        <w:spacing w:before="73" w:line="198" w:lineRule="exact"/>
        <w:ind w:left="100" w:right="58"/>
        <w:rPr>
          <w:rFonts w:ascii="Arial"/>
        </w:rPr>
      </w:pPr>
      <w:proofErr w:type="spellStart"/>
      <w:r>
        <w:rPr>
          <w:rFonts w:ascii="Arial"/>
        </w:rPr>
        <w:t>Kenshi</w:t>
      </w:r>
      <w:proofErr w:type="spellEnd"/>
      <w:r>
        <w:rPr>
          <w:rFonts w:ascii="Arial"/>
        </w:rPr>
        <w:t xml:space="preserve"> </w:t>
      </w:r>
      <w:proofErr w:type="spellStart"/>
      <w:r>
        <w:rPr>
          <w:rFonts w:ascii="Arial"/>
        </w:rPr>
        <w:t>Hayashida</w:t>
      </w:r>
      <w:proofErr w:type="spellEnd"/>
      <w:r w:rsidR="005973B9">
        <w:rPr>
          <w:rFonts w:ascii="Arial"/>
        </w:rPr>
        <w:t xml:space="preserve">, </w:t>
      </w:r>
      <w:r w:rsidR="0037356F" w:rsidRPr="0037356F">
        <w:rPr>
          <w:rFonts w:ascii="Arial"/>
        </w:rPr>
        <w:t>PhD, University of Occupational and Environmental Health, JAPAN</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37356F" w:rsidRDefault="00A9710C">
      <w:pPr>
        <w:pStyle w:val="a3"/>
        <w:spacing w:before="90" w:line="280" w:lineRule="auto"/>
        <w:ind w:left="100"/>
        <w:jc w:val="both"/>
      </w:pPr>
      <w:r>
        <w:t>Statement</w:t>
      </w:r>
    </w:p>
    <w:p w:rsidR="002F6D8D" w:rsidRDefault="00B85241">
      <w:pPr>
        <w:pStyle w:val="a3"/>
        <w:spacing w:before="90" w:line="280" w:lineRule="auto"/>
        <w:ind w:left="100"/>
        <w:jc w:val="both"/>
      </w:pPr>
      <w:r w:rsidRPr="00B85241">
        <w:t>There is an increasing focus on the prevention of deep vein thrombosis (DVT) in medical care from the perspective of healthcare safety</w:t>
      </w:r>
      <w:r w:rsidR="00F705EA" w:rsidRPr="00F705EA">
        <w:rPr>
          <w:vertAlign w:val="superscript"/>
        </w:rPr>
        <w:t>1)</w:t>
      </w:r>
      <w:r w:rsidRPr="00B85241">
        <w:t>.</w:t>
      </w:r>
      <w:r w:rsidR="002F6D8D" w:rsidRPr="002F6D8D">
        <w:t xml:space="preserve"> However, when implementing preventive measures, physicians will first conduct an overall evaluation of each patient’s condition, and may choose to administer measures that deviate from these guidelines to ensure optimal treatment.</w:t>
      </w:r>
      <w:r w:rsidR="002F6D8D">
        <w:t xml:space="preserve"> </w:t>
      </w:r>
      <w:r w:rsidR="002F6D8D" w:rsidRPr="002F6D8D">
        <w:t>The aim of this study was to ascertain and conduct a descriptive analysis of resilience in the implementation of DVT preventive measures in a tertiary care teaching hospital in Japan.</w:t>
      </w:r>
      <w:r w:rsidR="002F6D8D">
        <w:t xml:space="preserve"> </w:t>
      </w:r>
      <w:r w:rsidR="002F6D8D" w:rsidRPr="002F6D8D">
        <w:t>The study sample comprised patients who had been newly admitted to the subject hospital between October 2016 and September 2017, and had undergone DVT risk assessments during hospitalization. Data were collected on the results for each risk assessment item and the final assessed risk, as well as on the preventive measures implemented for each patient.</w:t>
      </w:r>
    </w:p>
    <w:p w:rsidR="002F6D8D" w:rsidRDefault="002F6D8D">
      <w:pPr>
        <w:pStyle w:val="a3"/>
        <w:spacing w:before="90" w:line="280" w:lineRule="auto"/>
        <w:ind w:left="100"/>
        <w:jc w:val="both"/>
      </w:pPr>
      <w:r w:rsidRPr="002F6D8D">
        <w:t xml:space="preserve">Among the patients who had undergone DVT risk assessments at the subject hospital, there were </w:t>
      </w:r>
      <w:r w:rsidR="00A92E50">
        <w:t>5,311</w:t>
      </w:r>
      <w:r w:rsidRPr="002F6D8D">
        <w:t xml:space="preserve"> patients who had undergone surgery, </w:t>
      </w:r>
      <w:r w:rsidR="00A92E50">
        <w:t>549</w:t>
      </w:r>
      <w:r w:rsidRPr="002F6D8D">
        <w:t xml:space="preserve"> patients who were prescribed bed rest for 48 hours or more, and </w:t>
      </w:r>
      <w:r w:rsidR="00A92E50">
        <w:t>7,045</w:t>
      </w:r>
      <w:r w:rsidRPr="002F6D8D">
        <w:t xml:space="preserve"> patients who did not require any bed rest.</w:t>
      </w:r>
      <w:r>
        <w:t xml:space="preserve"> </w:t>
      </w:r>
      <w:r w:rsidRPr="002F6D8D">
        <w:t xml:space="preserve">Regardless of surgical status, there were </w:t>
      </w:r>
      <w:r w:rsidR="00A92E50">
        <w:t>5,059</w:t>
      </w:r>
      <w:r w:rsidRPr="002F6D8D">
        <w:t xml:space="preserve"> patients with moderate DVT risk; among these, </w:t>
      </w:r>
      <w:r w:rsidR="00A92E50">
        <w:t>1,008</w:t>
      </w:r>
      <w:r w:rsidRPr="002F6D8D">
        <w:t xml:space="preserve"> patients were administered preventive measures that were less stringent (i.e., early ambulation and active mobilization only) than those prescribed in the guidelines.</w:t>
      </w:r>
      <w:r w:rsidR="00F705EA">
        <w:t xml:space="preserve"> </w:t>
      </w:r>
      <w:r w:rsidR="00F705EA" w:rsidRPr="00F705EA">
        <w:t>There is a trade-off between preventing DVT and mitigating the risk of hemorrhage, and physicians must implement the most appropriate DVT prevention strategy based on each patient’s condition.</w:t>
      </w:r>
    </w:p>
    <w:p w:rsidR="00F705EA" w:rsidRDefault="00F705EA">
      <w:pPr>
        <w:pStyle w:val="a3"/>
        <w:spacing w:before="90" w:line="280" w:lineRule="auto"/>
        <w:ind w:left="100"/>
        <w:jc w:val="both"/>
      </w:pPr>
      <w:r w:rsidRPr="00F705EA">
        <w:t>The adoption of resilience measures that allow deviations from conventional rules can be effective for non-standard cases. However, such deviations must be supported by each physician’s specialized expertise and experience, and should not be implemented lightly.</w:t>
      </w:r>
    </w:p>
    <w:p w:rsidR="00AE3E37" w:rsidRDefault="00A9710C">
      <w:pPr>
        <w:pStyle w:val="3"/>
        <w:spacing w:before="74"/>
      </w:pPr>
      <w:r>
        <w:rPr>
          <w:b w:val="0"/>
        </w:rPr>
        <w:br w:type="column"/>
      </w:r>
      <w:r>
        <w:rPr>
          <w:color w:val="BF5A14"/>
        </w:rPr>
        <w:t>Image</w:t>
      </w:r>
    </w:p>
    <w:p w:rsidR="00AE3E37" w:rsidRPr="00797A90" w:rsidRDefault="00794C8B">
      <w:pPr>
        <w:pStyle w:val="a3"/>
        <w:spacing w:before="2"/>
        <w:rPr>
          <w:rFonts w:ascii="Arial" w:eastAsiaTheme="minorEastAsia" w:hint="eastAsia"/>
          <w:b/>
          <w:sz w:val="16"/>
          <w:lang w:eastAsia="ja-JP"/>
        </w:rPr>
      </w:pPr>
      <w:r w:rsidRPr="00794C8B">
        <w:rPr>
          <w:rFonts w:hint="eastAsia"/>
        </w:rPr>
        <w:drawing>
          <wp:inline distT="0" distB="0" distL="0" distR="0">
            <wp:extent cx="3165475" cy="1326549"/>
            <wp:effectExtent l="0" t="0" r="0" b="698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326549"/>
                    </a:xfrm>
                    <a:prstGeom prst="rect">
                      <a:avLst/>
                    </a:prstGeom>
                    <a:noFill/>
                    <a:ln>
                      <a:noFill/>
                    </a:ln>
                  </pic:spPr>
                </pic:pic>
              </a:graphicData>
            </a:graphic>
          </wp:inline>
        </w:drawing>
      </w:r>
    </w:p>
    <w:p w:rsidR="00857B30" w:rsidRPr="00625AFC" w:rsidRDefault="00625AFC" w:rsidP="005973B9">
      <w:pPr>
        <w:spacing w:line="204" w:lineRule="exact"/>
        <w:rPr>
          <w:rFonts w:eastAsiaTheme="minorEastAsia" w:hint="eastAsia"/>
          <w:sz w:val="18"/>
          <w:szCs w:val="18"/>
          <w:lang w:eastAsia="ja-JP"/>
        </w:rPr>
      </w:pPr>
      <w:r>
        <w:rPr>
          <w:rFonts w:eastAsiaTheme="minorEastAsia"/>
          <w:sz w:val="18"/>
          <w:szCs w:val="18"/>
          <w:lang w:eastAsia="ja-JP"/>
        </w:rPr>
        <w:t xml:space="preserve">Figure 1: Proportion of patient’s treatment action whole patients and proportion of preventive measure among </w:t>
      </w:r>
      <w:r w:rsidRPr="00625AFC">
        <w:rPr>
          <w:rFonts w:eastAsiaTheme="minorEastAsia"/>
          <w:sz w:val="18"/>
          <w:szCs w:val="18"/>
          <w:lang w:eastAsia="ja-JP"/>
        </w:rPr>
        <w:t>moderate DVT risk patients</w:t>
      </w:r>
      <w:r>
        <w:rPr>
          <w:rFonts w:eastAsiaTheme="minorEastAsia"/>
          <w:sz w:val="18"/>
          <w:szCs w:val="18"/>
          <w:lang w:eastAsia="ja-JP"/>
        </w:rPr>
        <w:t>.</w:t>
      </w:r>
    </w:p>
    <w:p w:rsidR="005973B9" w:rsidRDefault="005973B9" w:rsidP="005973B9">
      <w:pPr>
        <w:spacing w:line="204" w:lineRule="exact"/>
        <w:rPr>
          <w:rFonts w:ascii="Arial"/>
          <w:b/>
          <w:sz w:val="20"/>
        </w:rPr>
      </w:pPr>
      <w:r>
        <w:rPr>
          <w:rFonts w:ascii="Arial"/>
          <w:b/>
          <w:color w:val="BF5A14"/>
          <w:sz w:val="20"/>
        </w:rPr>
        <w:br/>
      </w:r>
      <w:r w:rsidR="00D95E31">
        <w:rPr>
          <w:rFonts w:ascii="Arial"/>
          <w:b/>
          <w:color w:val="BF5A14"/>
          <w:sz w:val="20"/>
        </w:rPr>
        <w:t>References</w:t>
      </w:r>
    </w:p>
    <w:p w:rsidR="005973B9" w:rsidRPr="00EE138D" w:rsidRDefault="00EE138D" w:rsidP="00F21626">
      <w:pPr>
        <w:pStyle w:val="a5"/>
        <w:numPr>
          <w:ilvl w:val="0"/>
          <w:numId w:val="3"/>
        </w:numPr>
        <w:tabs>
          <w:tab w:val="left" w:pos="384"/>
        </w:tabs>
        <w:spacing w:before="103" w:line="216" w:lineRule="exact"/>
        <w:ind w:right="138"/>
        <w:rPr>
          <w:sz w:val="18"/>
        </w:rPr>
      </w:pPr>
      <w:r w:rsidRPr="00EE138D">
        <w:rPr>
          <w:sz w:val="18"/>
        </w:rPr>
        <w:t xml:space="preserve">Guidelines for Diagnosis, Treatment and Prevention of Pulmonary </w:t>
      </w:r>
      <w:bookmarkStart w:id="0" w:name="_GoBack"/>
      <w:bookmarkEnd w:id="0"/>
      <w:r w:rsidRPr="00EE138D">
        <w:rPr>
          <w:sz w:val="18"/>
        </w:rPr>
        <w:t>Thromboembolism and Deep</w:t>
      </w:r>
      <w:r w:rsidRPr="00EE138D">
        <w:rPr>
          <w:sz w:val="18"/>
        </w:rPr>
        <w:t xml:space="preserve"> </w:t>
      </w:r>
      <w:r w:rsidRPr="00EE138D">
        <w:rPr>
          <w:sz w:val="18"/>
        </w:rPr>
        <w:t>Vein Thrombosis</w:t>
      </w:r>
      <w:r w:rsidR="004C742D">
        <w:rPr>
          <w:sz w:val="18"/>
        </w:rPr>
        <w:t xml:space="preserve"> </w:t>
      </w:r>
      <w:r w:rsidRPr="00EE138D">
        <w:rPr>
          <w:rFonts w:ascii="ＭＳ ゴシック" w:eastAsia="ＭＳ ゴシック" w:hAnsi="ＭＳ ゴシック" w:cs="ＭＳ ゴシック" w:hint="eastAsia"/>
          <w:sz w:val="18"/>
        </w:rPr>
        <w:t>（</w:t>
      </w:r>
      <w:r w:rsidRPr="00EE138D">
        <w:rPr>
          <w:sz w:val="18"/>
        </w:rPr>
        <w:t>JCS 2017</w:t>
      </w:r>
      <w:r w:rsidRPr="00EE138D">
        <w:rPr>
          <w:rFonts w:ascii="ＭＳ ゴシック" w:eastAsia="ＭＳ ゴシック" w:hAnsi="ＭＳ ゴシック" w:cs="ＭＳ ゴシック" w:hint="eastAsia"/>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CB6CE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F705EA">
      <w:pPr>
        <w:spacing w:before="41" w:line="154" w:lineRule="exact"/>
        <w:ind w:left="213" w:right="231"/>
        <w:jc w:val="both"/>
        <w:rPr>
          <w:rFonts w:ascii="Arial"/>
          <w:sz w:val="14"/>
        </w:rPr>
      </w:pPr>
      <w:r>
        <w:rPr>
          <w:rFonts w:ascii="Arial"/>
          <w:sz w:val="14"/>
        </w:rPr>
        <w:t>Genki Murakami</w:t>
      </w:r>
      <w:r w:rsidR="00A9710C">
        <w:rPr>
          <w:rFonts w:ascii="Arial"/>
          <w:sz w:val="14"/>
        </w:rPr>
        <w:t xml:space="preserve"> has h</w:t>
      </w:r>
      <w:r>
        <w:rPr>
          <w:rFonts w:ascii="Arial"/>
          <w:sz w:val="14"/>
        </w:rPr>
        <w:t>is</w:t>
      </w:r>
      <w:r w:rsidR="00A9710C">
        <w:rPr>
          <w:rFonts w:ascii="Arial"/>
          <w:sz w:val="14"/>
        </w:rPr>
        <w:t xml:space="preserve"> expertise in </w:t>
      </w:r>
      <w:r w:rsidR="00543CC4">
        <w:rPr>
          <w:rFonts w:ascii="Arial"/>
          <w:sz w:val="14"/>
        </w:rPr>
        <w:t xml:space="preserve">public health and management </w:t>
      </w:r>
      <w:r w:rsidR="00543CC4" w:rsidRPr="00B1335B">
        <w:rPr>
          <w:rFonts w:ascii="Arial" w:hint="eastAsia"/>
          <w:sz w:val="14"/>
        </w:rPr>
        <w:t>engineering</w:t>
      </w:r>
      <w:r w:rsidR="00543CC4" w:rsidRPr="00B1335B">
        <w:rPr>
          <w:rFonts w:ascii="Arial"/>
          <w:sz w:val="14"/>
        </w:rPr>
        <w:t xml:space="preserve"> especially</w:t>
      </w:r>
      <w:r w:rsidR="00543CC4">
        <w:rPr>
          <w:rFonts w:ascii="Arial"/>
          <w:sz w:val="14"/>
        </w:rPr>
        <w:t xml:space="preserve"> safety management in hospital.</w:t>
      </w:r>
      <w:r w:rsidR="00B1335B">
        <w:rPr>
          <w:rFonts w:ascii="Arial"/>
          <w:sz w:val="14"/>
        </w:rPr>
        <w:t xml:space="preserve"> </w:t>
      </w:r>
      <w:r w:rsidR="00543CC4" w:rsidRPr="00543CC4">
        <w:rPr>
          <w:rFonts w:ascii="Arial"/>
          <w:sz w:val="14"/>
        </w:rPr>
        <w:t xml:space="preserve">He practices the hospital's safety management method using the </w:t>
      </w:r>
      <w:r w:rsidR="00543CC4">
        <w:rPr>
          <w:rFonts w:ascii="Arial"/>
          <w:sz w:val="14"/>
        </w:rPr>
        <w:t>resilient</w:t>
      </w:r>
      <w:r w:rsidR="00543CC4" w:rsidRPr="00543CC4">
        <w:rPr>
          <w:rFonts w:ascii="Arial"/>
          <w:sz w:val="14"/>
        </w:rPr>
        <w:t xml:space="preserve"> engineering, which is safety management method based on </w:t>
      </w:r>
      <w:proofErr w:type="gramStart"/>
      <w:r w:rsidR="00543CC4" w:rsidRPr="00543CC4">
        <w:rPr>
          <w:rFonts w:ascii="Arial"/>
          <w:sz w:val="14"/>
        </w:rPr>
        <w:t>ergonomics.</w:t>
      </w:r>
      <w:r w:rsidR="00A9710C">
        <w:rPr>
          <w:rFonts w:ascii="Arial"/>
          <w:sz w:val="14"/>
        </w:rPr>
        <w:t>.</w:t>
      </w:r>
      <w:proofErr w:type="gramEnd"/>
      <w:r w:rsidR="000E2911">
        <w:rPr>
          <w:rFonts w:ascii="Arial"/>
          <w:sz w:val="14"/>
        </w:rPr>
        <w:t xml:space="preserve"> </w:t>
      </w:r>
      <w:r w:rsidR="00543CC4" w:rsidRPr="00543CC4">
        <w:rPr>
          <w:rFonts w:ascii="Arial"/>
          <w:sz w:val="14"/>
        </w:rPr>
        <w:t>He has completed graduate school in management engineering and public health, and as a teacher in a university hospital, he uses this method in the practice of education and safety management of medical staff.</w:t>
      </w:r>
      <w:r w:rsidR="00A9710C">
        <w:rPr>
          <w:rFonts w:ascii="Arial"/>
          <w:sz w:val="14"/>
        </w:rPr>
        <w:t xml:space="preserve"> </w:t>
      </w:r>
      <w:r w:rsidR="00B1335B" w:rsidRPr="00B1335B">
        <w:rPr>
          <w:rFonts w:ascii="Arial"/>
          <w:sz w:val="14"/>
        </w:rPr>
        <w:t xml:space="preserve">This study was supported by a Grant-in-Aid for Young Scientists (16K19290) from the Japan Society for the Promotion of Science. The authors </w:t>
      </w:r>
      <w:proofErr w:type="gramStart"/>
      <w:r w:rsidR="00B1335B" w:rsidRPr="00B1335B">
        <w:rPr>
          <w:rFonts w:ascii="Arial"/>
          <w:sz w:val="14"/>
        </w:rPr>
        <w:t>have  no</w:t>
      </w:r>
      <w:proofErr w:type="gramEnd"/>
      <w:r w:rsidR="00B1335B" w:rsidRPr="00B1335B">
        <w:rPr>
          <w:rFonts w:ascii="Arial"/>
          <w:sz w:val="14"/>
        </w:rPr>
        <w:t xml:space="preserve"> conflicts of interest to disclose.</w:t>
      </w:r>
    </w:p>
    <w:p w:rsidR="00AE3E37" w:rsidRDefault="00A9710C">
      <w:pPr>
        <w:spacing w:before="62"/>
        <w:ind w:left="4217" w:right="4235"/>
        <w:jc w:val="center"/>
        <w:rPr>
          <w:rFonts w:ascii="Arial"/>
          <w:sz w:val="14"/>
        </w:rPr>
      </w:pPr>
      <w:r>
        <w:rPr>
          <w:rFonts w:ascii="Arial"/>
          <w:sz w:val="14"/>
        </w:rPr>
        <w:t xml:space="preserve">Email: </w:t>
      </w:r>
      <w:r w:rsidR="00B1335B" w:rsidRPr="00B1335B">
        <w:rPr>
          <w:rStyle w:val="ac"/>
          <w:rFonts w:ascii="Arial"/>
          <w:sz w:val="14"/>
        </w:rPr>
        <w:t>genki@clnc.u</w:t>
      </w:r>
      <w:r w:rsidR="00B1335B">
        <w:rPr>
          <w:rStyle w:val="ac"/>
          <w:rFonts w:ascii="Arial"/>
          <w:sz w:val="14"/>
        </w:rPr>
        <w:t>oeh-u.ac.jp</w:t>
      </w: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611A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4F41FA" w:rsidRDefault="004F41FA" w:rsidP="004F41FA">
      <w:pPr>
        <w:spacing w:before="39"/>
        <w:ind w:left="100"/>
        <w:rPr>
          <w:rFonts w:ascii="Minion Pro"/>
          <w:b/>
          <w:sz w:val="20"/>
        </w:rPr>
        <w:sectPr w:rsidR="00AE3E37" w:rsidRPr="004F41FA">
          <w:type w:val="continuous"/>
          <w:pgSz w:w="11910" w:h="16840"/>
          <w:pgMar w:top="1740" w:right="600" w:bottom="840" w:left="620" w:header="720" w:footer="720" w:gutter="0"/>
          <w:cols w:space="720"/>
        </w:sectPr>
      </w:pPr>
      <w:r>
        <w:rPr>
          <w:rFonts w:ascii="Minion Pro"/>
          <w:b/>
          <w:sz w:val="20"/>
        </w:rPr>
        <w:t>Notes/Comments</w:t>
      </w:r>
    </w:p>
    <w:p w:rsidR="00AE3E37" w:rsidRDefault="004F41FA">
      <w:pPr>
        <w:pStyle w:val="a3"/>
        <w:spacing w:before="3"/>
        <w:rPr>
          <w:rFonts w:ascii="Minion Pro"/>
          <w:sz w:val="26"/>
        </w:rPr>
      </w:pPr>
      <w:r>
        <w:rPr>
          <w:rFonts w:ascii="Minion Pro"/>
          <w:sz w:val="26"/>
        </w:rPr>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4570" w:rsidRDefault="00924570">
      <w:r>
        <w:separator/>
      </w:r>
    </w:p>
  </w:endnote>
  <w:endnote w:type="continuationSeparator" w:id="0">
    <w:p w:rsidR="00924570" w:rsidRDefault="00924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4570" w:rsidRDefault="00924570">
      <w:r>
        <w:separator/>
      </w:r>
    </w:p>
  </w:footnote>
  <w:footnote w:type="continuationSeparator" w:id="0">
    <w:p w:rsidR="00924570" w:rsidRDefault="00924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6109B"/>
    <w:rsid w:val="00292ED9"/>
    <w:rsid w:val="002B45DB"/>
    <w:rsid w:val="002F6D8D"/>
    <w:rsid w:val="002F6F0D"/>
    <w:rsid w:val="0037356F"/>
    <w:rsid w:val="00404E5B"/>
    <w:rsid w:val="00414F7B"/>
    <w:rsid w:val="004355DC"/>
    <w:rsid w:val="004473B6"/>
    <w:rsid w:val="004749B4"/>
    <w:rsid w:val="00494130"/>
    <w:rsid w:val="004C742D"/>
    <w:rsid w:val="004F3523"/>
    <w:rsid w:val="004F41FA"/>
    <w:rsid w:val="00543CC4"/>
    <w:rsid w:val="005973B9"/>
    <w:rsid w:val="005B3A56"/>
    <w:rsid w:val="006060CE"/>
    <w:rsid w:val="00625AFC"/>
    <w:rsid w:val="0063497F"/>
    <w:rsid w:val="00794C8B"/>
    <w:rsid w:val="00797A90"/>
    <w:rsid w:val="00857B30"/>
    <w:rsid w:val="00873DF0"/>
    <w:rsid w:val="008756E6"/>
    <w:rsid w:val="00924570"/>
    <w:rsid w:val="009435D3"/>
    <w:rsid w:val="009B2D44"/>
    <w:rsid w:val="00A07E82"/>
    <w:rsid w:val="00A9152E"/>
    <w:rsid w:val="00A92E50"/>
    <w:rsid w:val="00A9710C"/>
    <w:rsid w:val="00AE3E37"/>
    <w:rsid w:val="00B1335B"/>
    <w:rsid w:val="00B21A57"/>
    <w:rsid w:val="00B85241"/>
    <w:rsid w:val="00BC601E"/>
    <w:rsid w:val="00C33602"/>
    <w:rsid w:val="00C36273"/>
    <w:rsid w:val="00C673ED"/>
    <w:rsid w:val="00CB1061"/>
    <w:rsid w:val="00CD6F55"/>
    <w:rsid w:val="00D95E31"/>
    <w:rsid w:val="00DA71C2"/>
    <w:rsid w:val="00DE3104"/>
    <w:rsid w:val="00EE138D"/>
    <w:rsid w:val="00F705E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439B1B3"/>
  <w15:docId w15:val="{BAE3AF52-10AC-415B-9EAE-8AFB5C4B4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1439</TotalTime>
  <Pages>1</Pages>
  <Words>475</Words>
  <Characters>2708</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村上 玄樹</cp:lastModifiedBy>
  <cp:revision>9</cp:revision>
  <dcterms:created xsi:type="dcterms:W3CDTF">2018-08-22T01:57:00Z</dcterms:created>
  <dcterms:modified xsi:type="dcterms:W3CDTF">2018-08-23T02:02:00Z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