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2252F" w:rsidP="00B2252F">
      <w:pPr>
        <w:pStyle w:val="1"/>
        <w:spacing w:before="170"/>
        <w:ind w:left="0"/>
        <w:jc w:val="center"/>
      </w:pPr>
      <w:proofErr w:type="spellStart"/>
      <w:r w:rsidRPr="00B2252F">
        <w:rPr>
          <w:i/>
          <w:color w:val="337AB7"/>
        </w:rPr>
        <w:t>Cichorium</w:t>
      </w:r>
      <w:proofErr w:type="spellEnd"/>
      <w:r w:rsidRPr="00B2252F">
        <w:rPr>
          <w:i/>
          <w:color w:val="337AB7"/>
        </w:rPr>
        <w:t xml:space="preserve"> </w:t>
      </w:r>
      <w:proofErr w:type="spellStart"/>
      <w:r w:rsidRPr="00B2252F">
        <w:rPr>
          <w:i/>
          <w:color w:val="337AB7"/>
        </w:rPr>
        <w:t>intybus</w:t>
      </w:r>
      <w:proofErr w:type="spellEnd"/>
      <w:r w:rsidRPr="00B2252F">
        <w:rPr>
          <w:color w:val="337AB7"/>
        </w:rPr>
        <w:t xml:space="preserve"> L. Decreases the Serum Uric Acid Level in Fructose-induced Hyperuricemia by Inhibiting the Reabsorption of Renal Transporters</w:t>
      </w:r>
    </w:p>
    <w:p w:rsidR="00AE3E37" w:rsidRPr="00B2252F" w:rsidRDefault="00B2252F" w:rsidP="00B2252F">
      <w:pPr>
        <w:pStyle w:val="a3"/>
        <w:spacing w:before="73" w:line="198" w:lineRule="exact"/>
        <w:ind w:left="100" w:right="5987"/>
        <w:rPr>
          <w:rFonts w:ascii="Arial" w:eastAsiaTheme="minorEastAsia" w:hint="eastAsia"/>
          <w:lang w:eastAsia="zh-CN"/>
        </w:rPr>
      </w:pPr>
      <w:r w:rsidRPr="00B2252F">
        <w:rPr>
          <w:rFonts w:ascii="Arial" w:eastAsiaTheme="minorEastAsia"/>
          <w:lang w:eastAsia="zh-CN"/>
        </w:rPr>
        <w:t>Yu W</w:t>
      </w:r>
      <w:r>
        <w:rPr>
          <w:rFonts w:ascii="Arial" w:eastAsiaTheme="minorEastAsia" w:hint="eastAsia"/>
          <w:lang w:eastAsia="zh-CN"/>
        </w:rPr>
        <w:t>,</w:t>
      </w:r>
      <w:r>
        <w:rPr>
          <w:rFonts w:ascii="Arial" w:eastAsiaTheme="minorEastAsia"/>
          <w:lang w:eastAsia="zh-CN"/>
        </w:rPr>
        <w:t xml:space="preserve"> </w:t>
      </w:r>
      <w:proofErr w:type="spellStart"/>
      <w:r>
        <w:rPr>
          <w:rFonts w:ascii="Arial" w:eastAsiaTheme="minorEastAsia"/>
          <w:lang w:eastAsia="zh-CN"/>
        </w:rPr>
        <w:t>Zhijian</w:t>
      </w:r>
      <w:proofErr w:type="spellEnd"/>
      <w:r>
        <w:rPr>
          <w:rFonts w:ascii="Arial" w:eastAsiaTheme="minorEastAsia"/>
          <w:lang w:eastAsia="zh-CN"/>
        </w:rPr>
        <w:t xml:space="preserve"> L</w:t>
      </w:r>
      <w:r>
        <w:rPr>
          <w:rFonts w:ascii="Arial" w:eastAsiaTheme="minorEastAsia" w:hint="eastAsia"/>
          <w:lang w:eastAsia="zh-CN"/>
        </w:rPr>
        <w:t>,</w:t>
      </w:r>
      <w:r w:rsidRPr="00B2252F">
        <w:rPr>
          <w:rFonts w:ascii="Arial" w:eastAsiaTheme="minorEastAsia"/>
          <w:lang w:eastAsia="zh-CN"/>
        </w:rPr>
        <w:t xml:space="preserve"> Bing Z</w:t>
      </w:r>
      <w:r>
        <w:rPr>
          <w:rFonts w:ascii="Arial" w:eastAsiaTheme="minorEastAsia" w:hint="eastAsia"/>
          <w:lang w:eastAsia="zh-CN"/>
        </w:rPr>
        <w:t>, BUCM</w:t>
      </w:r>
      <w:r w:rsidRPr="00B2252F">
        <w:rPr>
          <w:rFonts w:ascii="Arial" w:eastAsiaTheme="minorEastAsia"/>
          <w:lang w:eastAsia="zh-CN"/>
        </w:rPr>
        <w:t>,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B2252F">
      <w:pPr>
        <w:pStyle w:val="a3"/>
        <w:spacing w:before="90" w:line="280" w:lineRule="auto"/>
        <w:ind w:left="100"/>
        <w:jc w:val="both"/>
      </w:pPr>
      <w:r w:rsidRPr="00B2252F">
        <w:t xml:space="preserve">Hyperuricemia is a chronic metabolic disease which caused by excessive production or impediment excretion of uric acid. The kidney plays an important role in uric acid excretion which contains the handling process of reabsorption and secretion. A series of renal uric acid transporters is responsible for the two processes, mainly including reabsorption transporters URAT1 and Glut9 as well as secretion transporters OAT1 and OAT3. Excessive intake of fructose may result in elevated serum uric acid levels. </w:t>
      </w:r>
      <w:proofErr w:type="spellStart"/>
      <w:r w:rsidRPr="00B2252F">
        <w:t>Cichorium</w:t>
      </w:r>
      <w:proofErr w:type="spellEnd"/>
      <w:r w:rsidRPr="00B2252F">
        <w:t xml:space="preserve"> </w:t>
      </w:r>
      <w:proofErr w:type="spellStart"/>
      <w:r w:rsidRPr="00B2252F">
        <w:t>intybus</w:t>
      </w:r>
      <w:proofErr w:type="spellEnd"/>
      <w:r w:rsidRPr="00B2252F">
        <w:t xml:space="preserve"> L., commonly known as chicory, has been used as an edible vegetable and a traditional remedy which function as diuresis, </w:t>
      </w:r>
      <w:proofErr w:type="spellStart"/>
      <w:r w:rsidRPr="00B2252F">
        <w:t>detumescence</w:t>
      </w:r>
      <w:proofErr w:type="spellEnd"/>
      <w:r w:rsidRPr="00B2252F">
        <w:t xml:space="preserve"> and </w:t>
      </w:r>
      <w:proofErr w:type="spellStart"/>
      <w:r w:rsidRPr="00B2252F">
        <w:t>cholagogue</w:t>
      </w:r>
      <w:proofErr w:type="spellEnd"/>
      <w:r w:rsidRPr="00B2252F">
        <w:t xml:space="preserve">. Our previous studies found chicory had an effect on treating hyperuricemia which correlate with decreased production and increased intestinal excretion. Currently, we evaluated the mechanism of its </w:t>
      </w:r>
      <w:proofErr w:type="spellStart"/>
      <w:r w:rsidRPr="00B2252F">
        <w:t>uricosuric</w:t>
      </w:r>
      <w:proofErr w:type="spellEnd"/>
      <w:r w:rsidRPr="00B2252F">
        <w:t xml:space="preserve"> effect via renal pathway. Hyperuricemia rats induced by 10% fructose solution were treated with chicory at three doses and </w:t>
      </w:r>
      <w:proofErr w:type="spellStart"/>
      <w:r w:rsidRPr="00B2252F">
        <w:t>benzbromarone</w:t>
      </w:r>
      <w:proofErr w:type="spellEnd"/>
      <w:r w:rsidRPr="00B2252F">
        <w:t xml:space="preserve"> respectively. </w:t>
      </w:r>
      <w:proofErr w:type="spellStart"/>
      <w:r w:rsidRPr="00B2252F">
        <w:t>Chicorydecreased</w:t>
      </w:r>
      <w:proofErr w:type="spellEnd"/>
      <w:r w:rsidRPr="00B2252F">
        <w:t xml:space="preserve"> the serum levels of uric acid and creatinine, and promoted the clearance rates of creatinine and uric acid, as well as improved renal pathological changes in hyperuricemia rats. Further examination illustrated that chicory inhibited the mRNA and protein expressions of URAT1 and GLUT9 markedly in a dose-dependent manner whereas showed no influence in the mRNA and protein expressions of OAT1 and OAT3. Taken together, chicory might be a promising anti-hyperuricemia agent to promote uric acid excretion in the kidney via inhibiting renal reabsorption which may relate with down-regulation of mRNA and protein expression levels of URAT1 and Glut9.</w:t>
      </w:r>
    </w:p>
    <w:p w:rsidR="00AE3E37" w:rsidRDefault="00A9710C">
      <w:pPr>
        <w:pStyle w:val="3"/>
        <w:spacing w:before="74"/>
      </w:pPr>
      <w:r>
        <w:rPr>
          <w:b w:val="0"/>
        </w:rPr>
        <w:br w:type="column"/>
      </w:r>
      <w:r>
        <w:rPr>
          <w:color w:val="BF5A14"/>
        </w:rPr>
        <w:lastRenderedPageBreak/>
        <w:t>Image</w:t>
      </w:r>
    </w:p>
    <w:p w:rsidR="00AE3E37" w:rsidRDefault="00B2252F" w:rsidP="00B2252F">
      <w:pPr>
        <w:pStyle w:val="a3"/>
        <w:spacing w:before="2"/>
        <w:jc w:val="center"/>
        <w:rPr>
          <w:rFonts w:ascii="Arial"/>
          <w:b/>
          <w:sz w:val="16"/>
        </w:rPr>
      </w:pPr>
      <w:r w:rsidRPr="002108CD">
        <w:rPr>
          <w:b/>
          <w:noProof/>
          <w:sz w:val="16"/>
          <w:lang w:eastAsia="zh-CN"/>
        </w:rPr>
        <w:drawing>
          <wp:inline distT="0" distB="0" distL="0" distR="0" wp14:anchorId="19E2C8D5" wp14:editId="2C3F4F06">
            <wp:extent cx="3070047" cy="1506931"/>
            <wp:effectExtent l="0" t="0" r="0" b="0"/>
            <wp:docPr id="2"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67716" cy="1505787"/>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r>
      <w:r w:rsidR="00D95E31">
        <w:rPr>
          <w:rFonts w:ascii="Arial"/>
          <w:b/>
          <w:color w:val="BF5A14"/>
          <w:sz w:val="20"/>
        </w:rPr>
        <w:t>References</w:t>
      </w:r>
    </w:p>
    <w:p w:rsidR="002A2C4F" w:rsidRPr="002A2C4F" w:rsidRDefault="002A2C4F" w:rsidP="002A2C4F">
      <w:pPr>
        <w:pStyle w:val="a4"/>
        <w:numPr>
          <w:ilvl w:val="0"/>
          <w:numId w:val="3"/>
        </w:numPr>
        <w:tabs>
          <w:tab w:val="left" w:pos="384"/>
        </w:tabs>
        <w:spacing w:before="103" w:line="216" w:lineRule="exact"/>
        <w:ind w:right="138"/>
        <w:rPr>
          <w:sz w:val="18"/>
        </w:rPr>
      </w:pPr>
      <w:r w:rsidRPr="002A2C4F">
        <w:rPr>
          <w:sz w:val="18"/>
        </w:rPr>
        <w:t xml:space="preserve">C. Zoccali, F. </w:t>
      </w:r>
      <w:proofErr w:type="spellStart"/>
      <w:r w:rsidRPr="002A2C4F">
        <w:rPr>
          <w:sz w:val="18"/>
        </w:rPr>
        <w:t>Mallamaci</w:t>
      </w:r>
      <w:proofErr w:type="spellEnd"/>
      <w:r w:rsidRPr="002A2C4F">
        <w:rPr>
          <w:sz w:val="18"/>
        </w:rPr>
        <w:t xml:space="preserve">, Uric acid, hypertension, and cardiovascular and renal complications, </w:t>
      </w:r>
      <w:proofErr w:type="spellStart"/>
      <w:r w:rsidRPr="002A2C4F">
        <w:rPr>
          <w:sz w:val="18"/>
        </w:rPr>
        <w:t>Curr</w:t>
      </w:r>
      <w:proofErr w:type="spellEnd"/>
      <w:r w:rsidRPr="002A2C4F">
        <w:rPr>
          <w:sz w:val="18"/>
        </w:rPr>
        <w:t xml:space="preserve"> </w:t>
      </w:r>
      <w:proofErr w:type="spellStart"/>
      <w:r w:rsidRPr="002A2C4F">
        <w:rPr>
          <w:sz w:val="18"/>
        </w:rPr>
        <w:t>Hypertens</w:t>
      </w:r>
      <w:proofErr w:type="spellEnd"/>
      <w:r w:rsidRPr="002A2C4F">
        <w:rPr>
          <w:sz w:val="18"/>
        </w:rPr>
        <w:t xml:space="preserve"> Rep, 2013, 15, 531–537.</w:t>
      </w:r>
    </w:p>
    <w:p w:rsidR="002A2C4F" w:rsidRPr="002A2C4F" w:rsidRDefault="002A2C4F" w:rsidP="002A2C4F">
      <w:pPr>
        <w:pStyle w:val="a4"/>
        <w:numPr>
          <w:ilvl w:val="0"/>
          <w:numId w:val="3"/>
        </w:numPr>
        <w:tabs>
          <w:tab w:val="left" w:pos="384"/>
        </w:tabs>
        <w:spacing w:before="103" w:line="216" w:lineRule="exact"/>
        <w:ind w:right="138"/>
        <w:rPr>
          <w:sz w:val="18"/>
        </w:rPr>
      </w:pPr>
      <w:r w:rsidRPr="002A2C4F">
        <w:rPr>
          <w:sz w:val="18"/>
        </w:rPr>
        <w:t xml:space="preserve">L. McLean, N. </w:t>
      </w:r>
      <w:proofErr w:type="spellStart"/>
      <w:r w:rsidRPr="002A2C4F">
        <w:rPr>
          <w:sz w:val="18"/>
        </w:rPr>
        <w:t>Dalbeth</w:t>
      </w:r>
      <w:proofErr w:type="spellEnd"/>
      <w:r w:rsidRPr="002A2C4F">
        <w:rPr>
          <w:sz w:val="18"/>
        </w:rPr>
        <w:t xml:space="preserve">, </w:t>
      </w:r>
      <w:proofErr w:type="spellStart"/>
      <w:r w:rsidRPr="002A2C4F">
        <w:rPr>
          <w:sz w:val="18"/>
        </w:rPr>
        <w:t>Etiolgoy</w:t>
      </w:r>
      <w:proofErr w:type="spellEnd"/>
      <w:r w:rsidRPr="002A2C4F">
        <w:rPr>
          <w:sz w:val="18"/>
        </w:rPr>
        <w:t xml:space="preserve"> and pathogenesis of gout. Rheum, 2015, 2, 1555-1568.</w:t>
      </w:r>
    </w:p>
    <w:p w:rsidR="002A2C4F" w:rsidRPr="002A2C4F" w:rsidRDefault="002A2C4F" w:rsidP="002A2C4F">
      <w:pPr>
        <w:pStyle w:val="a4"/>
        <w:numPr>
          <w:ilvl w:val="0"/>
          <w:numId w:val="3"/>
        </w:numPr>
        <w:tabs>
          <w:tab w:val="left" w:pos="384"/>
        </w:tabs>
        <w:spacing w:before="103" w:line="216" w:lineRule="exact"/>
        <w:ind w:right="138"/>
        <w:rPr>
          <w:sz w:val="18"/>
        </w:rPr>
      </w:pPr>
      <w:r w:rsidRPr="002A2C4F">
        <w:rPr>
          <w:sz w:val="18"/>
        </w:rPr>
        <w:t xml:space="preserve">F. </w:t>
      </w:r>
      <w:proofErr w:type="spellStart"/>
      <w:r w:rsidRPr="002A2C4F">
        <w:rPr>
          <w:sz w:val="18"/>
        </w:rPr>
        <w:t>Perezruiz</w:t>
      </w:r>
      <w:proofErr w:type="spellEnd"/>
      <w:r w:rsidRPr="002A2C4F">
        <w:rPr>
          <w:sz w:val="18"/>
        </w:rPr>
        <w:t xml:space="preserve">, N. </w:t>
      </w:r>
      <w:proofErr w:type="spellStart"/>
      <w:r w:rsidRPr="002A2C4F">
        <w:rPr>
          <w:sz w:val="18"/>
        </w:rPr>
        <w:t>Dalbeth</w:t>
      </w:r>
      <w:proofErr w:type="spellEnd"/>
      <w:r w:rsidRPr="002A2C4F">
        <w:rPr>
          <w:sz w:val="18"/>
        </w:rPr>
        <w:t xml:space="preserve">, T. </w:t>
      </w:r>
      <w:proofErr w:type="spellStart"/>
      <w:r w:rsidRPr="002A2C4F">
        <w:rPr>
          <w:sz w:val="18"/>
        </w:rPr>
        <w:t>BardinA</w:t>
      </w:r>
      <w:proofErr w:type="spellEnd"/>
      <w:r w:rsidRPr="002A2C4F">
        <w:rPr>
          <w:sz w:val="18"/>
        </w:rPr>
        <w:t xml:space="preserve">, Review of Uric Acid, Crystal Deposition Disease, and Gout, </w:t>
      </w:r>
      <w:proofErr w:type="spellStart"/>
      <w:r w:rsidRPr="002A2C4F">
        <w:rPr>
          <w:sz w:val="18"/>
        </w:rPr>
        <w:t>Adv</w:t>
      </w:r>
      <w:proofErr w:type="spellEnd"/>
      <w:r w:rsidRPr="002A2C4F">
        <w:rPr>
          <w:sz w:val="18"/>
        </w:rPr>
        <w:t xml:space="preserve"> </w:t>
      </w:r>
      <w:proofErr w:type="spellStart"/>
      <w:r w:rsidRPr="002A2C4F">
        <w:rPr>
          <w:sz w:val="18"/>
        </w:rPr>
        <w:t>Ther</w:t>
      </w:r>
      <w:proofErr w:type="spellEnd"/>
      <w:r w:rsidRPr="002A2C4F">
        <w:rPr>
          <w:sz w:val="18"/>
        </w:rPr>
        <w:t>, 2015, 32, 31-41.</w:t>
      </w:r>
    </w:p>
    <w:p w:rsidR="002A2C4F" w:rsidRPr="002A2C4F" w:rsidRDefault="002A2C4F" w:rsidP="002A2C4F">
      <w:pPr>
        <w:pStyle w:val="a4"/>
        <w:numPr>
          <w:ilvl w:val="0"/>
          <w:numId w:val="3"/>
        </w:numPr>
        <w:tabs>
          <w:tab w:val="left" w:pos="384"/>
        </w:tabs>
        <w:spacing w:before="103" w:line="216" w:lineRule="exact"/>
        <w:ind w:right="138"/>
        <w:rPr>
          <w:sz w:val="18"/>
        </w:rPr>
      </w:pPr>
      <w:r w:rsidRPr="002A2C4F">
        <w:rPr>
          <w:sz w:val="18"/>
        </w:rPr>
        <w:t xml:space="preserve">C. S. Zhu, B. Zhang, Z. J. Lin, X. J. Wang, Y. Zhou, et al. Relationship between High-Performance Liquid Chromatography Fingerprints and Uric Acid-Lowering Activities of </w:t>
      </w:r>
      <w:proofErr w:type="spellStart"/>
      <w:r w:rsidRPr="002A2C4F">
        <w:rPr>
          <w:sz w:val="18"/>
        </w:rPr>
        <w:t>Cichorium</w:t>
      </w:r>
      <w:proofErr w:type="spellEnd"/>
      <w:r w:rsidRPr="002A2C4F">
        <w:rPr>
          <w:sz w:val="18"/>
        </w:rPr>
        <w:t xml:space="preserve"> </w:t>
      </w:r>
      <w:proofErr w:type="spellStart"/>
      <w:r w:rsidRPr="002A2C4F">
        <w:rPr>
          <w:sz w:val="18"/>
        </w:rPr>
        <w:t>intybus</w:t>
      </w:r>
      <w:proofErr w:type="spellEnd"/>
      <w:r w:rsidRPr="002A2C4F">
        <w:rPr>
          <w:sz w:val="18"/>
        </w:rPr>
        <w:t xml:space="preserve"> L, Molecules, 2015, 20, 9455-9567.</w:t>
      </w:r>
    </w:p>
    <w:p w:rsidR="002A2C4F" w:rsidRPr="002A2C4F" w:rsidRDefault="002A2C4F" w:rsidP="002A2C4F">
      <w:pPr>
        <w:pStyle w:val="a4"/>
        <w:numPr>
          <w:ilvl w:val="0"/>
          <w:numId w:val="3"/>
        </w:numPr>
        <w:tabs>
          <w:tab w:val="left" w:pos="384"/>
        </w:tabs>
        <w:spacing w:before="103" w:line="216" w:lineRule="exact"/>
        <w:ind w:right="138"/>
        <w:rPr>
          <w:sz w:val="18"/>
        </w:rPr>
      </w:pPr>
      <w:r w:rsidRPr="002A2C4F">
        <w:rPr>
          <w:sz w:val="18"/>
        </w:rPr>
        <w:t xml:space="preserve">Y. Wang, Z. J. Lin, Z. Bing, A. Z. </w:t>
      </w:r>
      <w:proofErr w:type="spellStart"/>
      <w:r w:rsidRPr="002A2C4F">
        <w:rPr>
          <w:sz w:val="18"/>
        </w:rPr>
        <w:t>Nie</w:t>
      </w:r>
      <w:proofErr w:type="spellEnd"/>
      <w:r w:rsidRPr="002A2C4F">
        <w:rPr>
          <w:sz w:val="18"/>
        </w:rPr>
        <w:t xml:space="preserve">, B. </w:t>
      </w:r>
      <w:proofErr w:type="spellStart"/>
      <w:r w:rsidRPr="002A2C4F">
        <w:rPr>
          <w:sz w:val="18"/>
        </w:rPr>
        <w:t>Meng</w:t>
      </w:r>
      <w:proofErr w:type="spellEnd"/>
      <w:r w:rsidRPr="002A2C4F">
        <w:rPr>
          <w:sz w:val="18"/>
        </w:rPr>
        <w:t xml:space="preserve">, </w:t>
      </w:r>
      <w:proofErr w:type="spellStart"/>
      <w:r w:rsidRPr="002A2C4F">
        <w:rPr>
          <w:sz w:val="18"/>
        </w:rPr>
        <w:t>Cichorium</w:t>
      </w:r>
      <w:proofErr w:type="spellEnd"/>
      <w:r w:rsidRPr="002A2C4F">
        <w:rPr>
          <w:sz w:val="18"/>
        </w:rPr>
        <w:t xml:space="preserve"> </w:t>
      </w:r>
      <w:proofErr w:type="spellStart"/>
      <w:r w:rsidRPr="002A2C4F">
        <w:rPr>
          <w:sz w:val="18"/>
        </w:rPr>
        <w:t>intybus</w:t>
      </w:r>
      <w:proofErr w:type="spellEnd"/>
      <w:r w:rsidRPr="002A2C4F">
        <w:rPr>
          <w:sz w:val="18"/>
        </w:rPr>
        <w:t xml:space="preserve"> L. promotes intestinal uric acid excretion by modulating ABCG2 in experimental hyperuricemia, </w:t>
      </w:r>
      <w:proofErr w:type="spellStart"/>
      <w:r w:rsidRPr="002A2C4F">
        <w:rPr>
          <w:sz w:val="18"/>
        </w:rPr>
        <w:t>Nutr</w:t>
      </w:r>
      <w:proofErr w:type="spellEnd"/>
      <w:r w:rsidRPr="002A2C4F">
        <w:rPr>
          <w:sz w:val="18"/>
        </w:rPr>
        <w:t xml:space="preserve"> </w:t>
      </w:r>
      <w:proofErr w:type="spellStart"/>
      <w:r w:rsidRPr="002A2C4F">
        <w:rPr>
          <w:sz w:val="18"/>
        </w:rPr>
        <w:t>Metab</w:t>
      </w:r>
      <w:proofErr w:type="spellEnd"/>
      <w:r w:rsidRPr="002A2C4F">
        <w:rPr>
          <w:sz w:val="18"/>
        </w:rPr>
        <w:t>, 2017, 14, 38.</w:t>
      </w:r>
    </w:p>
    <w:p w:rsidR="00AE3E37" w:rsidRPr="002A2C4F" w:rsidRDefault="002A2C4F" w:rsidP="002A2C4F">
      <w:pPr>
        <w:pStyle w:val="a4"/>
        <w:numPr>
          <w:ilvl w:val="0"/>
          <w:numId w:val="3"/>
        </w:numPr>
        <w:tabs>
          <w:tab w:val="left" w:pos="384"/>
        </w:tabs>
        <w:spacing w:before="103" w:line="216" w:lineRule="exact"/>
        <w:ind w:right="138"/>
        <w:rPr>
          <w:rFonts w:hint="eastAsia"/>
          <w:sz w:val="18"/>
        </w:rPr>
      </w:pPr>
      <w:r w:rsidRPr="002A2C4F">
        <w:rPr>
          <w:sz w:val="18"/>
        </w:rPr>
        <w:t xml:space="preserve">R. M. </w:t>
      </w:r>
      <w:proofErr w:type="spellStart"/>
      <w:r w:rsidRPr="002A2C4F">
        <w:rPr>
          <w:sz w:val="18"/>
        </w:rPr>
        <w:t>Pelis</w:t>
      </w:r>
      <w:proofErr w:type="spellEnd"/>
      <w:r w:rsidRPr="002A2C4F">
        <w:rPr>
          <w:sz w:val="18"/>
        </w:rPr>
        <w:t xml:space="preserve">, S. H. Wright, SLC22, SLC44, and SLC47 transporters—organic anion and cation transporters: molecular and cellular properties, </w:t>
      </w:r>
      <w:proofErr w:type="spellStart"/>
      <w:r w:rsidRPr="002A2C4F">
        <w:rPr>
          <w:sz w:val="18"/>
        </w:rPr>
        <w:t>Curr</w:t>
      </w:r>
      <w:proofErr w:type="spellEnd"/>
      <w:r w:rsidRPr="002A2C4F">
        <w:rPr>
          <w:sz w:val="18"/>
        </w:rPr>
        <w:t xml:space="preserve"> Top </w:t>
      </w:r>
      <w:proofErr w:type="spellStart"/>
      <w:r w:rsidRPr="002A2C4F">
        <w:rPr>
          <w:sz w:val="18"/>
        </w:rPr>
        <w:t>Membr</w:t>
      </w:r>
      <w:proofErr w:type="spellEnd"/>
      <w:r w:rsidRPr="002A2C4F">
        <w:rPr>
          <w:sz w:val="18"/>
        </w:rPr>
        <w:t>, 2014, 73, 233–261.</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630A6">
        <w:rPr>
          <w:noProof/>
          <w:lang w:eastAsia="zh-CN"/>
        </w:rPr>
        <w:drawing>
          <wp:inline distT="0" distB="0" distL="0" distR="0">
            <wp:extent cx="626400" cy="720263"/>
            <wp:effectExtent l="0" t="0" r="2540" b="3810"/>
            <wp:docPr id="3" name="图片 3" descr="C:\Users\wangyu\AppData\Local\Temp\WeChat Files\335171781034375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ngyu\AppData\Local\Temp\WeChat Files\33517178103437574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6400" cy="720263"/>
                    </a:xfrm>
                    <a:prstGeom prst="rect">
                      <a:avLst/>
                    </a:prstGeom>
                    <a:noFill/>
                    <a:ln>
                      <a:noFill/>
                    </a:ln>
                  </pic:spPr>
                </pic:pic>
              </a:graphicData>
            </a:graphic>
          </wp:inline>
        </w:drawing>
      </w:r>
      <w:r w:rsidR="009630A6" w:rsidRPr="009630A6">
        <w:rPr>
          <w:noProof/>
          <w:lang w:eastAsia="zh-CN"/>
        </w:rPr>
        <w:t xml:space="preserve"> </w:t>
      </w:r>
      <w:bookmarkStart w:id="0" w:name="_GoBack"/>
      <w:bookmarkEnd w:id="0"/>
      <w:r w:rsidR="00A9710C">
        <w:rPr>
          <w:rFonts w:ascii="Arial"/>
          <w:color w:val="BF5A14"/>
        </w:rPr>
        <w:t>Biography</w:t>
      </w:r>
      <w:r w:rsidR="00404E5B">
        <w:rPr>
          <w:rFonts w:ascii="Arial"/>
          <w:color w:val="BF5A14"/>
        </w:rPr>
        <w:t xml:space="preserve"> (150 word limit)</w:t>
      </w:r>
    </w:p>
    <w:p w:rsidR="002A2C4F" w:rsidRDefault="0035268B" w:rsidP="007801E4">
      <w:pPr>
        <w:spacing w:before="41" w:line="154" w:lineRule="exact"/>
        <w:ind w:left="213" w:right="231"/>
        <w:jc w:val="both"/>
        <w:rPr>
          <w:rFonts w:ascii="Arial" w:eastAsiaTheme="minorEastAsia" w:hint="eastAsia"/>
          <w:sz w:val="14"/>
          <w:lang w:eastAsia="zh-CN"/>
        </w:rPr>
      </w:pPr>
      <w:r>
        <w:rPr>
          <w:rFonts w:ascii="Arial" w:eastAsiaTheme="minorEastAsia" w:hint="eastAsia"/>
          <w:sz w:val="14"/>
          <w:lang w:eastAsia="zh-CN"/>
        </w:rPr>
        <w:t>Yu W</w:t>
      </w:r>
      <w:r w:rsidR="00A9710C">
        <w:rPr>
          <w:rFonts w:ascii="Arial"/>
          <w:sz w:val="14"/>
        </w:rPr>
        <w:t xml:space="preserve"> has her expertise in evaluation and passion in improving </w:t>
      </w:r>
      <w:r w:rsidR="002A2C4F" w:rsidRPr="002A2C4F">
        <w:rPr>
          <w:rFonts w:ascii="Arial"/>
          <w:sz w:val="14"/>
        </w:rPr>
        <w:t>metabolic disorders</w:t>
      </w:r>
      <w:r w:rsidR="002A2C4F">
        <w:rPr>
          <w:rFonts w:ascii="Arial" w:eastAsiaTheme="minorEastAsia" w:hint="eastAsia"/>
          <w:sz w:val="14"/>
          <w:lang w:eastAsia="zh-CN"/>
        </w:rPr>
        <w:t xml:space="preserve"> by traditional chinses medicine. Her studies focus on the </w:t>
      </w:r>
      <w:r w:rsidR="002A2C4F" w:rsidRPr="002A2C4F">
        <w:rPr>
          <w:rFonts w:ascii="Arial" w:eastAsiaTheme="minorEastAsia"/>
          <w:sz w:val="14"/>
          <w:lang w:eastAsia="zh-CN"/>
        </w:rPr>
        <w:t>excretion pathway</w:t>
      </w:r>
      <w:r w:rsidR="002A2C4F">
        <w:rPr>
          <w:rFonts w:ascii="Arial" w:eastAsiaTheme="minorEastAsia" w:hint="eastAsia"/>
          <w:sz w:val="14"/>
          <w:lang w:eastAsia="zh-CN"/>
        </w:rPr>
        <w:t xml:space="preserve"> of </w:t>
      </w:r>
      <w:r>
        <w:rPr>
          <w:rFonts w:ascii="Arial" w:eastAsiaTheme="minorEastAsia"/>
          <w:sz w:val="14"/>
          <w:lang w:eastAsia="zh-CN"/>
        </w:rPr>
        <w:t>hyperuricemia and</w:t>
      </w:r>
      <w:r>
        <w:rPr>
          <w:rFonts w:ascii="Arial" w:eastAsiaTheme="minorEastAsia" w:hint="eastAsia"/>
          <w:sz w:val="14"/>
          <w:lang w:eastAsia="zh-CN"/>
        </w:rPr>
        <w:t xml:space="preserve"> </w:t>
      </w:r>
      <w:r w:rsidRPr="0035268B">
        <w:rPr>
          <w:rFonts w:ascii="Arial" w:eastAsiaTheme="minorEastAsia"/>
          <w:sz w:val="14"/>
          <w:lang w:eastAsia="zh-CN"/>
        </w:rPr>
        <w:t xml:space="preserve">assess the pharmacodynamics of </w:t>
      </w:r>
      <w:proofErr w:type="spellStart"/>
      <w:r w:rsidRPr="0035268B">
        <w:rPr>
          <w:rFonts w:ascii="Arial" w:eastAsiaTheme="minorEastAsia"/>
          <w:i/>
          <w:sz w:val="14"/>
          <w:lang w:eastAsia="zh-CN"/>
        </w:rPr>
        <w:t>Cichorium</w:t>
      </w:r>
      <w:proofErr w:type="spellEnd"/>
      <w:r w:rsidRPr="0035268B">
        <w:rPr>
          <w:rFonts w:ascii="Arial" w:eastAsiaTheme="minorEastAsia"/>
          <w:i/>
          <w:sz w:val="14"/>
          <w:lang w:eastAsia="zh-CN"/>
        </w:rPr>
        <w:t xml:space="preserve"> </w:t>
      </w:r>
      <w:proofErr w:type="spellStart"/>
      <w:r w:rsidRPr="0035268B">
        <w:rPr>
          <w:rFonts w:ascii="Arial" w:eastAsiaTheme="minorEastAsia"/>
          <w:i/>
          <w:sz w:val="14"/>
          <w:lang w:eastAsia="zh-CN"/>
        </w:rPr>
        <w:t>intybus</w:t>
      </w:r>
      <w:proofErr w:type="spellEnd"/>
      <w:r w:rsidRPr="0035268B">
        <w:rPr>
          <w:rFonts w:ascii="Arial" w:eastAsiaTheme="minorEastAsia"/>
          <w:sz w:val="14"/>
          <w:lang w:eastAsia="zh-CN"/>
        </w:rPr>
        <w:t xml:space="preserve"> L</w:t>
      </w:r>
      <w:r>
        <w:rPr>
          <w:rFonts w:ascii="Arial" w:eastAsiaTheme="minorEastAsia" w:hint="eastAsia"/>
          <w:sz w:val="14"/>
          <w:lang w:eastAsia="zh-CN"/>
        </w:rPr>
        <w:t xml:space="preserve">, a </w:t>
      </w:r>
      <w:r>
        <w:rPr>
          <w:rFonts w:ascii="Arial" w:eastAsiaTheme="minorEastAsia"/>
          <w:sz w:val="14"/>
          <w:lang w:eastAsia="zh-CN"/>
        </w:rPr>
        <w:t>dietetic herb</w:t>
      </w:r>
      <w:r>
        <w:rPr>
          <w:rFonts w:ascii="Arial" w:eastAsiaTheme="minorEastAsia" w:hint="eastAsia"/>
          <w:sz w:val="14"/>
          <w:lang w:eastAsia="zh-CN"/>
        </w:rPr>
        <w:t xml:space="preserve"> </w:t>
      </w:r>
      <w:r w:rsidRPr="0035268B">
        <w:rPr>
          <w:rFonts w:ascii="Arial" w:eastAsiaTheme="minorEastAsia"/>
          <w:sz w:val="14"/>
          <w:lang w:eastAsia="zh-CN"/>
        </w:rPr>
        <w:t>frequently used in Chinese medicine and nutrition</w:t>
      </w:r>
      <w:r>
        <w:rPr>
          <w:rFonts w:ascii="Arial" w:eastAsiaTheme="minorEastAsia" w:hint="eastAsia"/>
          <w:sz w:val="14"/>
          <w:lang w:eastAsia="zh-CN"/>
        </w:rPr>
        <w:t>,</w:t>
      </w:r>
      <w:r w:rsidRPr="0035268B">
        <w:rPr>
          <w:rFonts w:ascii="Arial" w:eastAsiaTheme="minorEastAsia"/>
          <w:sz w:val="14"/>
          <w:lang w:eastAsia="zh-CN"/>
        </w:rPr>
        <w:t xml:space="preserve"> in </w:t>
      </w:r>
      <w:r>
        <w:rPr>
          <w:rFonts w:ascii="Arial" w:eastAsiaTheme="minorEastAsia" w:hint="eastAsia"/>
          <w:sz w:val="14"/>
          <w:lang w:eastAsia="zh-CN"/>
        </w:rPr>
        <w:t xml:space="preserve">lowering serum uric acid levels. She found </w:t>
      </w:r>
      <w:proofErr w:type="spellStart"/>
      <w:r w:rsidR="007801E4" w:rsidRPr="0035268B">
        <w:rPr>
          <w:rFonts w:ascii="Arial" w:eastAsiaTheme="minorEastAsia"/>
          <w:i/>
          <w:sz w:val="14"/>
          <w:lang w:eastAsia="zh-CN"/>
        </w:rPr>
        <w:t>Cichorium</w:t>
      </w:r>
      <w:proofErr w:type="spellEnd"/>
      <w:r w:rsidR="007801E4" w:rsidRPr="0035268B">
        <w:rPr>
          <w:rFonts w:ascii="Arial" w:eastAsiaTheme="minorEastAsia"/>
          <w:i/>
          <w:sz w:val="14"/>
          <w:lang w:eastAsia="zh-CN"/>
        </w:rPr>
        <w:t xml:space="preserve"> </w:t>
      </w:r>
      <w:proofErr w:type="spellStart"/>
      <w:r w:rsidR="007801E4" w:rsidRPr="0035268B">
        <w:rPr>
          <w:rFonts w:ascii="Arial" w:eastAsiaTheme="minorEastAsia"/>
          <w:i/>
          <w:sz w:val="14"/>
          <w:lang w:eastAsia="zh-CN"/>
        </w:rPr>
        <w:t>intybus</w:t>
      </w:r>
      <w:proofErr w:type="spellEnd"/>
      <w:r w:rsidR="007801E4" w:rsidRPr="0035268B">
        <w:rPr>
          <w:rFonts w:ascii="Arial" w:eastAsiaTheme="minorEastAsia"/>
          <w:sz w:val="14"/>
          <w:lang w:eastAsia="zh-CN"/>
        </w:rPr>
        <w:t xml:space="preserve"> L</w:t>
      </w:r>
      <w:r w:rsidR="007801E4">
        <w:rPr>
          <w:rFonts w:ascii="Arial" w:eastAsiaTheme="minorEastAsia" w:hint="eastAsia"/>
          <w:sz w:val="14"/>
          <w:lang w:eastAsia="zh-CN"/>
        </w:rPr>
        <w:t xml:space="preserve">. </w:t>
      </w:r>
      <w:r w:rsidRPr="0035268B">
        <w:rPr>
          <w:rFonts w:ascii="Arial" w:eastAsiaTheme="minorEastAsia"/>
          <w:sz w:val="14"/>
          <w:lang w:eastAsia="zh-CN"/>
        </w:rPr>
        <w:t xml:space="preserve">has the </w:t>
      </w:r>
      <w:proofErr w:type="spellStart"/>
      <w:r w:rsidRPr="0035268B">
        <w:rPr>
          <w:rFonts w:ascii="Arial" w:eastAsiaTheme="minorEastAsia"/>
          <w:sz w:val="14"/>
          <w:lang w:eastAsia="zh-CN"/>
        </w:rPr>
        <w:t>uricosuric</w:t>
      </w:r>
      <w:proofErr w:type="spellEnd"/>
      <w:r w:rsidRPr="0035268B">
        <w:rPr>
          <w:rFonts w:ascii="Arial" w:eastAsiaTheme="minorEastAsia"/>
          <w:sz w:val="14"/>
          <w:lang w:eastAsia="zh-CN"/>
        </w:rPr>
        <w:t xml:space="preserve"> effect </w:t>
      </w:r>
      <w:r w:rsidR="007801E4">
        <w:rPr>
          <w:rFonts w:ascii="Arial" w:eastAsiaTheme="minorEastAsia" w:hint="eastAsia"/>
          <w:sz w:val="14"/>
          <w:lang w:eastAsia="zh-CN"/>
        </w:rPr>
        <w:t>by</w:t>
      </w:r>
      <w:r w:rsidRPr="0035268B">
        <w:rPr>
          <w:rFonts w:ascii="Arial" w:eastAsiaTheme="minorEastAsia"/>
          <w:sz w:val="14"/>
          <w:lang w:eastAsia="zh-CN"/>
        </w:rPr>
        <w:t xml:space="preserve"> </w:t>
      </w:r>
      <w:r w:rsidR="007801E4">
        <w:rPr>
          <w:rFonts w:ascii="Arial" w:eastAsiaTheme="minorEastAsia"/>
          <w:sz w:val="14"/>
          <w:lang w:eastAsia="zh-CN"/>
        </w:rPr>
        <w:t>regulating</w:t>
      </w:r>
      <w:r w:rsidR="007801E4">
        <w:rPr>
          <w:rFonts w:ascii="Arial" w:eastAsiaTheme="minorEastAsia" w:hint="eastAsia"/>
          <w:sz w:val="14"/>
          <w:lang w:eastAsia="zh-CN"/>
        </w:rPr>
        <w:t xml:space="preserve"> </w:t>
      </w:r>
      <w:r w:rsidRPr="0035268B">
        <w:rPr>
          <w:rFonts w:ascii="Arial" w:eastAsiaTheme="minorEastAsia"/>
          <w:sz w:val="14"/>
          <w:lang w:eastAsia="zh-CN"/>
        </w:rPr>
        <w:t>URAT1 and Glut9 in the kidney to inhibit uric acid resorption.</w:t>
      </w:r>
    </w:p>
    <w:p w:rsidR="00AE3E37" w:rsidRDefault="00A9710C">
      <w:pPr>
        <w:spacing w:before="62"/>
        <w:ind w:left="4217" w:right="4235"/>
        <w:jc w:val="center"/>
        <w:rPr>
          <w:rFonts w:ascii="Arial"/>
          <w:sz w:val="14"/>
        </w:rPr>
      </w:pPr>
      <w:r>
        <w:rPr>
          <w:rFonts w:ascii="Arial"/>
          <w:sz w:val="14"/>
        </w:rPr>
        <w:t xml:space="preserve">Email: </w:t>
      </w:r>
      <w:hyperlink r:id="rId12" w:history="1">
        <w:r w:rsidR="002A2C4F" w:rsidRPr="009E3A6E">
          <w:rPr>
            <w:rStyle w:val="a8"/>
            <w:rFonts w:ascii="Arial" w:eastAsiaTheme="minorEastAsia" w:hint="eastAsia"/>
            <w:sz w:val="14"/>
            <w:lang w:eastAsia="zh-CN"/>
          </w:rPr>
          <w:t>wangyuxh</w:t>
        </w:r>
        <w:r w:rsidR="002A2C4F" w:rsidRPr="009E3A6E">
          <w:rPr>
            <w:rStyle w:val="a8"/>
            <w:rFonts w:ascii="Arial"/>
            <w:sz w:val="14"/>
          </w:rPr>
          <w:t>@</w:t>
        </w:r>
        <w:r w:rsidR="002A2C4F" w:rsidRPr="009E3A6E">
          <w:rPr>
            <w:rStyle w:val="a8"/>
            <w:rFonts w:ascii="Arial" w:eastAsiaTheme="minorEastAsia" w:hint="eastAsia"/>
            <w:sz w:val="14"/>
            <w:lang w:eastAsia="zh-CN"/>
          </w:rPr>
          <w:t>163.com</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Pr="007801E4" w:rsidRDefault="00AE3E37">
      <w:pPr>
        <w:pStyle w:val="a3"/>
        <w:spacing w:before="7"/>
        <w:rPr>
          <w:rFonts w:ascii="Arial" w:eastAsiaTheme="minorEastAsia" w:hint="eastAsia"/>
          <w:sz w:val="29"/>
          <w:lang w:eastAsia="zh-CN"/>
        </w:rPr>
      </w:pPr>
    </w:p>
    <w:p w:rsidR="00AE3E37" w:rsidRPr="004F41FA" w:rsidRDefault="004F41FA" w:rsidP="004F41FA">
      <w:pPr>
        <w:spacing w:before="39"/>
        <w:ind w:left="100"/>
        <w:rPr>
          <w:rFonts w:ascii="Minion Pro"/>
          <w:b/>
          <w:sz w:val="20"/>
        </w:rPr>
        <w:sectPr w:rsidR="00AE3E37" w:rsidRPr="004F41FA">
          <w:type w:val="continuous"/>
          <w:pgSz w:w="11910" w:h="16840"/>
          <w:pgMar w:top="1740" w:right="600" w:bottom="840" w:left="620" w:header="720" w:footer="720" w:gutter="0"/>
          <w:cols w:space="720"/>
        </w:sectPr>
      </w:pPr>
      <w:r>
        <w:rPr>
          <w:rFonts w:ascii="Minion Pro"/>
          <w:b/>
          <w:sz w:val="20"/>
        </w:rPr>
        <w:t>Notes/Comments</w:t>
      </w:r>
    </w:p>
    <w:p w:rsidR="00AE3E37" w:rsidRDefault="004F41FA">
      <w:pPr>
        <w:pStyle w:val="a3"/>
        <w:spacing w:before="3"/>
        <w:rPr>
          <w:rFonts w:ascii="Minion Pro"/>
          <w:sz w:val="26"/>
        </w:rPr>
      </w:pPr>
      <w:r>
        <w:rPr>
          <w:rFonts w:ascii="Minion Pro"/>
          <w:sz w:val="26"/>
        </w:rPr>
        <w:lastRenderedPageBreak/>
        <w:t xml:space="preserve">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2D3" w:rsidRDefault="00CC52D3">
      <w:r>
        <w:separator/>
      </w:r>
    </w:p>
  </w:endnote>
  <w:endnote w:type="continuationSeparator" w:id="0">
    <w:p w:rsidR="00CC52D3" w:rsidRDefault="00CC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2D3" w:rsidRDefault="00CC52D3">
      <w:r>
        <w:separator/>
      </w:r>
    </w:p>
  </w:footnote>
  <w:footnote w:type="continuationSeparator" w:id="0">
    <w:p w:rsidR="00CC52D3" w:rsidRDefault="00CC52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109B"/>
    <w:rsid w:val="00292ED9"/>
    <w:rsid w:val="002A2C4F"/>
    <w:rsid w:val="002B45DB"/>
    <w:rsid w:val="0035268B"/>
    <w:rsid w:val="00404E5B"/>
    <w:rsid w:val="00414F7B"/>
    <w:rsid w:val="004355DC"/>
    <w:rsid w:val="004473B6"/>
    <w:rsid w:val="004749B4"/>
    <w:rsid w:val="00494130"/>
    <w:rsid w:val="004F3523"/>
    <w:rsid w:val="004F41FA"/>
    <w:rsid w:val="00526801"/>
    <w:rsid w:val="005973B9"/>
    <w:rsid w:val="005B3A56"/>
    <w:rsid w:val="006060CE"/>
    <w:rsid w:val="0063497F"/>
    <w:rsid w:val="007801E4"/>
    <w:rsid w:val="00873DF0"/>
    <w:rsid w:val="008756E6"/>
    <w:rsid w:val="009435D3"/>
    <w:rsid w:val="009630A6"/>
    <w:rsid w:val="009B2D44"/>
    <w:rsid w:val="00A07E82"/>
    <w:rsid w:val="00A9710C"/>
    <w:rsid w:val="00AE3E37"/>
    <w:rsid w:val="00B21A57"/>
    <w:rsid w:val="00B2252F"/>
    <w:rsid w:val="00BC601E"/>
    <w:rsid w:val="00C33602"/>
    <w:rsid w:val="00CC52D3"/>
    <w:rsid w:val="00CD6F55"/>
    <w:rsid w:val="00D95E3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wangyuxh@163.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wangyu</cp:lastModifiedBy>
  <cp:revision>2</cp:revision>
  <dcterms:created xsi:type="dcterms:W3CDTF">2018-07-26T15:41:00Z</dcterms:created>
  <dcterms:modified xsi:type="dcterms:W3CDTF">2018-07-26T15:41:00Z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