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93C" w:rsidRDefault="00BA393C" w:rsidP="00BA393C">
      <w:pPr>
        <w:ind w:firstLine="284"/>
        <w:jc w:val="center"/>
        <w:rPr>
          <w:rFonts w:ascii="Arial" w:hAnsi="Arial" w:cs="Arial"/>
          <w:b/>
          <w:sz w:val="20"/>
          <w:szCs w:val="20"/>
        </w:rPr>
      </w:pPr>
      <w:r w:rsidRPr="002529CB">
        <w:rPr>
          <w:rFonts w:ascii="Arial" w:hAnsi="Arial" w:cs="Arial"/>
          <w:b/>
          <w:sz w:val="20"/>
          <w:szCs w:val="20"/>
        </w:rPr>
        <w:t>APPLICATION OF NEXT GENERATION SEQUENCING UPON THE DETECTION OF 100 MUTATIONS IN 18 DEAFNESS GENES IN VIETNAMESE CHILDREN WITH NON-SYNDROMIC HEARING LOSS</w:t>
      </w:r>
    </w:p>
    <w:p w:rsidR="00BA393C" w:rsidRDefault="00BA393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Nguyen Thi Trang, Hanoi Medical University</w:t>
      </w:r>
    </w:p>
    <w:p w:rsidR="005973B9" w:rsidRDefault="00BA393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Cao Minh Thanh, Hanoi Medical University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BA393C" w:rsidRPr="002529CB" w:rsidRDefault="00BA393C" w:rsidP="00BA393C">
      <w:pPr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 w:rsidRPr="002529CB">
        <w:rPr>
          <w:rFonts w:ascii="Arial" w:hAnsi="Arial" w:cs="Arial"/>
          <w:b/>
          <w:bCs/>
          <w:i/>
          <w:sz w:val="20"/>
          <w:szCs w:val="20"/>
        </w:rPr>
        <w:t>Introduction: </w:t>
      </w:r>
      <w:r w:rsidRPr="002529CB">
        <w:rPr>
          <w:rFonts w:ascii="Arial" w:hAnsi="Arial" w:cs="Arial"/>
          <w:i/>
          <w:sz w:val="20"/>
          <w:szCs w:val="20"/>
        </w:rPr>
        <w:t xml:space="preserve">There are 15000 hearing-impaired children are born in Vietnam every year. Early detection of common deafness mutations is a key factor for diagnosing, helping hearing-loss children to develop their language and awareness normally. </w:t>
      </w:r>
      <w:r w:rsidRPr="002529CB">
        <w:rPr>
          <w:rFonts w:ascii="Arial" w:hAnsi="Arial" w:cs="Arial"/>
          <w:b/>
          <w:bCs/>
          <w:i/>
          <w:sz w:val="20"/>
          <w:szCs w:val="20"/>
        </w:rPr>
        <w:t>Objective: </w:t>
      </w:r>
      <w:r>
        <w:rPr>
          <w:rFonts w:ascii="Arial" w:hAnsi="Arial" w:cs="Arial"/>
          <w:i/>
          <w:sz w:val="20"/>
          <w:szCs w:val="20"/>
        </w:rPr>
        <w:t>I</w:t>
      </w:r>
      <w:r w:rsidRPr="002529CB">
        <w:rPr>
          <w:rFonts w:ascii="Arial" w:hAnsi="Arial" w:cs="Arial"/>
          <w:i/>
          <w:sz w:val="20"/>
          <w:szCs w:val="20"/>
        </w:rPr>
        <w:t>dentify the carrier rate of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E72719">
        <w:rPr>
          <w:rFonts w:ascii="Arial" w:hAnsi="Arial" w:cs="Arial"/>
          <w:i/>
          <w:sz w:val="20"/>
          <w:szCs w:val="20"/>
        </w:rPr>
        <w:t>new common mutation</w:t>
      </w:r>
      <w:r>
        <w:rPr>
          <w:rFonts w:ascii="Arial" w:hAnsi="Arial" w:cs="Arial"/>
          <w:i/>
          <w:sz w:val="20"/>
          <w:szCs w:val="20"/>
        </w:rPr>
        <w:t>s</w:t>
      </w:r>
      <w:r w:rsidRPr="00E72719">
        <w:rPr>
          <w:rFonts w:ascii="Arial" w:hAnsi="Arial" w:cs="Arial"/>
          <w:i/>
          <w:sz w:val="20"/>
          <w:szCs w:val="20"/>
        </w:rPr>
        <w:t xml:space="preserve"> and </w:t>
      </w:r>
      <w:r>
        <w:rPr>
          <w:rFonts w:ascii="Arial" w:hAnsi="Arial" w:cs="Arial"/>
          <w:i/>
          <w:sz w:val="20"/>
          <w:szCs w:val="20"/>
        </w:rPr>
        <w:t xml:space="preserve">common </w:t>
      </w:r>
      <w:r w:rsidRPr="00E72719">
        <w:rPr>
          <w:rFonts w:ascii="Arial" w:hAnsi="Arial" w:cs="Arial"/>
          <w:i/>
          <w:sz w:val="20"/>
          <w:szCs w:val="20"/>
        </w:rPr>
        <w:t>mutation</w:t>
      </w:r>
      <w:r>
        <w:rPr>
          <w:rFonts w:ascii="Arial" w:hAnsi="Arial" w:cs="Arial"/>
          <w:i/>
          <w:sz w:val="20"/>
          <w:szCs w:val="20"/>
        </w:rPr>
        <w:t>s</w:t>
      </w:r>
      <w:r w:rsidRPr="00E72719">
        <w:rPr>
          <w:rFonts w:ascii="Arial" w:hAnsi="Arial" w:cs="Arial"/>
          <w:i/>
          <w:sz w:val="20"/>
          <w:szCs w:val="20"/>
        </w:rPr>
        <w:t xml:space="preserve"> associated w</w:t>
      </w:r>
      <w:r>
        <w:rPr>
          <w:rFonts w:ascii="Arial" w:hAnsi="Arial" w:cs="Arial"/>
          <w:i/>
          <w:sz w:val="20"/>
          <w:szCs w:val="20"/>
        </w:rPr>
        <w:t>ith congenital deafness children in Viet Nam</w:t>
      </w:r>
      <w:r w:rsidRPr="002529CB">
        <w:rPr>
          <w:rFonts w:ascii="Arial" w:hAnsi="Arial" w:cs="Arial"/>
          <w:i/>
          <w:sz w:val="20"/>
          <w:szCs w:val="20"/>
        </w:rPr>
        <w:t xml:space="preserve">. </w:t>
      </w:r>
      <w:r w:rsidRPr="002529CB">
        <w:rPr>
          <w:rFonts w:ascii="Arial" w:hAnsi="Arial" w:cs="Arial"/>
          <w:b/>
          <w:bCs/>
          <w:i/>
          <w:sz w:val="20"/>
          <w:szCs w:val="20"/>
        </w:rPr>
        <w:t>Research’s Objects and Methods: </w:t>
      </w:r>
      <w:r w:rsidRPr="002529CB">
        <w:rPr>
          <w:rFonts w:ascii="Arial" w:hAnsi="Arial" w:cs="Arial"/>
          <w:i/>
          <w:sz w:val="20"/>
          <w:szCs w:val="20"/>
        </w:rPr>
        <w:t>80 hearing-impaired and 100 normal children from Viet Nam. Apply technology of next generation sequencing to detect 100 mutations of 18 deafness genes, namely </w:t>
      </w:r>
      <w:r w:rsidRPr="002529CB">
        <w:rPr>
          <w:rFonts w:ascii="Arial" w:hAnsi="Arial" w:cs="Arial"/>
          <w:i/>
          <w:iCs/>
          <w:sz w:val="20"/>
          <w:szCs w:val="20"/>
          <w:lang w:val="vi-VN"/>
        </w:rPr>
        <w:t xml:space="preserve">GJB2, GJB3, SLC26A4, </w:t>
      </w:r>
      <w:r w:rsidRPr="002529CB">
        <w:rPr>
          <w:rFonts w:ascii="Arial" w:hAnsi="Arial" w:cs="Arial"/>
          <w:i/>
          <w:sz w:val="20"/>
          <w:szCs w:val="20"/>
        </w:rPr>
        <w:t xml:space="preserve">MT-RNR1, MT-CO1, MT-TL1, MT-TS1, MT-TH, DSPP, GPR98, DFNA5, TMC1, MYO7A, TECTA, DIABLO, COCH, MYO15A and PRPS1. </w:t>
      </w:r>
      <w:r w:rsidRPr="002529CB">
        <w:rPr>
          <w:rFonts w:ascii="Arial" w:hAnsi="Arial" w:cs="Arial"/>
          <w:b/>
          <w:bCs/>
          <w:i/>
          <w:sz w:val="20"/>
          <w:szCs w:val="20"/>
        </w:rPr>
        <w:t>Result: </w:t>
      </w:r>
      <w:r>
        <w:rPr>
          <w:rFonts w:ascii="Arial" w:hAnsi="Arial" w:cs="Arial"/>
          <w:i/>
          <w:sz w:val="20"/>
          <w:szCs w:val="20"/>
        </w:rPr>
        <w:t>Identify 15</w:t>
      </w:r>
      <w:r w:rsidRPr="002529CB">
        <w:rPr>
          <w:rFonts w:ascii="Arial" w:hAnsi="Arial" w:cs="Arial"/>
          <w:i/>
          <w:sz w:val="20"/>
          <w:szCs w:val="20"/>
        </w:rPr>
        <w:t xml:space="preserve"> m</w:t>
      </w:r>
      <w:r>
        <w:rPr>
          <w:rFonts w:ascii="Arial" w:hAnsi="Arial" w:cs="Arial"/>
          <w:i/>
          <w:sz w:val="20"/>
          <w:szCs w:val="20"/>
        </w:rPr>
        <w:t>utations of deafness gene of</w:t>
      </w:r>
      <w:r w:rsidRPr="002529CB">
        <w:rPr>
          <w:rFonts w:ascii="Arial" w:hAnsi="Arial" w:cs="Arial"/>
          <w:i/>
          <w:sz w:val="20"/>
          <w:szCs w:val="20"/>
        </w:rPr>
        <w:t xml:space="preserve"> hearing-imp</w:t>
      </w:r>
      <w:r>
        <w:rPr>
          <w:rFonts w:ascii="Arial" w:hAnsi="Arial" w:cs="Arial"/>
          <w:i/>
          <w:sz w:val="20"/>
          <w:szCs w:val="20"/>
        </w:rPr>
        <w:t>aired patients (account for 18.75% in total), including: 7 cases of gene</w:t>
      </w:r>
      <w:r w:rsidRPr="002529CB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GJB2 (2</w:t>
      </w:r>
      <w:r w:rsidRPr="002529CB">
        <w:rPr>
          <w:rFonts w:ascii="Arial" w:hAnsi="Arial" w:cs="Arial"/>
          <w:i/>
          <w:sz w:val="20"/>
          <w:szCs w:val="20"/>
        </w:rPr>
        <w:t xml:space="preserve"> cases</w:t>
      </w:r>
      <w:r>
        <w:rPr>
          <w:rFonts w:ascii="Arial" w:hAnsi="Arial" w:cs="Arial"/>
          <w:i/>
          <w:iCs/>
          <w:sz w:val="20"/>
          <w:szCs w:val="20"/>
        </w:rPr>
        <w:t xml:space="preserve"> of homozygous</w:t>
      </w:r>
      <w:r w:rsidRPr="002529CB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mutation</w:t>
      </w:r>
      <w:r>
        <w:rPr>
          <w:rFonts w:ascii="Arial" w:hAnsi="Arial" w:cs="Arial"/>
          <w:i/>
          <w:iCs/>
          <w:sz w:val="20"/>
          <w:szCs w:val="20"/>
        </w:rPr>
        <w:t>, 5</w:t>
      </w:r>
      <w:r w:rsidRPr="002529CB">
        <w:rPr>
          <w:rFonts w:ascii="Arial" w:hAnsi="Arial" w:cs="Arial"/>
          <w:i/>
          <w:iCs/>
          <w:sz w:val="20"/>
          <w:szCs w:val="20"/>
        </w:rPr>
        <w:t xml:space="preserve"> cases of </w:t>
      </w:r>
      <w:r>
        <w:rPr>
          <w:rFonts w:ascii="Arial" w:hAnsi="Arial" w:cs="Arial"/>
          <w:i/>
          <w:sz w:val="20"/>
          <w:szCs w:val="20"/>
        </w:rPr>
        <w:t>heterozygous mutation), 3 cases of heterozygous mutation of gene</w:t>
      </w:r>
      <w:r w:rsidRPr="002529CB">
        <w:rPr>
          <w:rFonts w:ascii="Arial" w:hAnsi="Arial" w:cs="Arial"/>
          <w:i/>
          <w:iCs/>
          <w:sz w:val="20"/>
          <w:szCs w:val="20"/>
        </w:rPr>
        <w:t xml:space="preserve"> SLC26A4</w:t>
      </w:r>
      <w:r>
        <w:rPr>
          <w:rFonts w:ascii="Arial" w:hAnsi="Arial" w:cs="Arial"/>
          <w:i/>
          <w:iCs/>
          <w:sz w:val="20"/>
          <w:szCs w:val="20"/>
        </w:rPr>
        <w:t>, 2</w:t>
      </w:r>
      <w:r w:rsidRPr="002529CB">
        <w:rPr>
          <w:rFonts w:ascii="Arial" w:hAnsi="Arial" w:cs="Arial"/>
          <w:i/>
          <w:sz w:val="20"/>
          <w:szCs w:val="20"/>
        </w:rPr>
        <w:t xml:space="preserve"> cases</w:t>
      </w:r>
      <w:r>
        <w:rPr>
          <w:rFonts w:ascii="Arial" w:hAnsi="Arial" w:cs="Arial"/>
          <w:i/>
          <w:iCs/>
          <w:sz w:val="20"/>
          <w:szCs w:val="20"/>
        </w:rPr>
        <w:t xml:space="preserve"> of homozygous</w:t>
      </w:r>
      <w:r w:rsidRPr="002529CB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mutation of</w:t>
      </w:r>
      <w:r w:rsidRPr="002529CB">
        <w:rPr>
          <w:rFonts w:ascii="Arial" w:hAnsi="Arial" w:cs="Arial"/>
          <w:i/>
          <w:iCs/>
          <w:sz w:val="20"/>
          <w:szCs w:val="20"/>
        </w:rPr>
        <w:t xml:space="preserve"> MT-R</w:t>
      </w:r>
      <w:r>
        <w:rPr>
          <w:rFonts w:ascii="Arial" w:hAnsi="Arial" w:cs="Arial"/>
          <w:i/>
          <w:iCs/>
          <w:sz w:val="20"/>
          <w:szCs w:val="20"/>
        </w:rPr>
        <w:t xml:space="preserve">NR1, </w:t>
      </w:r>
      <w:r>
        <w:rPr>
          <w:rFonts w:ascii="Arial" w:hAnsi="Arial" w:cs="Arial"/>
          <w:i/>
          <w:sz w:val="20"/>
          <w:szCs w:val="20"/>
        </w:rPr>
        <w:t>1 case</w:t>
      </w:r>
      <w:r w:rsidRPr="002529CB">
        <w:rPr>
          <w:rFonts w:ascii="Arial" w:hAnsi="Arial" w:cs="Arial"/>
          <w:i/>
          <w:sz w:val="20"/>
          <w:szCs w:val="20"/>
        </w:rPr>
        <w:t xml:space="preserve"> of </w:t>
      </w:r>
      <w:r>
        <w:rPr>
          <w:rFonts w:ascii="Arial" w:hAnsi="Arial" w:cs="Arial"/>
          <w:i/>
          <w:sz w:val="20"/>
          <w:szCs w:val="20"/>
        </w:rPr>
        <w:t>heterozygous mutation of gene</w:t>
      </w:r>
      <w:r w:rsidRPr="002529CB">
        <w:rPr>
          <w:rFonts w:ascii="Arial" w:hAnsi="Arial" w:cs="Arial"/>
          <w:i/>
          <w:iCs/>
          <w:sz w:val="20"/>
          <w:szCs w:val="20"/>
        </w:rPr>
        <w:t xml:space="preserve"> TMC1</w:t>
      </w:r>
      <w:r>
        <w:rPr>
          <w:rFonts w:ascii="Arial" w:hAnsi="Arial" w:cs="Arial"/>
          <w:i/>
          <w:iCs/>
          <w:sz w:val="20"/>
          <w:szCs w:val="20"/>
        </w:rPr>
        <w:t xml:space="preserve">, </w:t>
      </w:r>
      <w:r>
        <w:rPr>
          <w:rFonts w:ascii="Arial" w:hAnsi="Arial" w:cs="Arial"/>
          <w:i/>
          <w:sz w:val="20"/>
          <w:szCs w:val="20"/>
        </w:rPr>
        <w:t>1 case</w:t>
      </w:r>
      <w:r w:rsidRPr="002529CB">
        <w:rPr>
          <w:rFonts w:ascii="Arial" w:hAnsi="Arial" w:cs="Arial"/>
          <w:i/>
          <w:sz w:val="20"/>
          <w:szCs w:val="20"/>
        </w:rPr>
        <w:t xml:space="preserve"> of </w:t>
      </w:r>
      <w:r>
        <w:rPr>
          <w:rFonts w:ascii="Arial" w:hAnsi="Arial" w:cs="Arial"/>
          <w:i/>
          <w:sz w:val="20"/>
          <w:szCs w:val="20"/>
        </w:rPr>
        <w:t>heterozygous of gene</w:t>
      </w:r>
      <w:r>
        <w:rPr>
          <w:rFonts w:ascii="Arial" w:hAnsi="Arial" w:cs="Arial"/>
          <w:i/>
          <w:iCs/>
          <w:sz w:val="20"/>
          <w:szCs w:val="20"/>
        </w:rPr>
        <w:t xml:space="preserve"> MT-TH and </w:t>
      </w:r>
      <w:r>
        <w:rPr>
          <w:rFonts w:ascii="Arial" w:hAnsi="Arial" w:cs="Arial"/>
          <w:i/>
          <w:sz w:val="20"/>
          <w:szCs w:val="20"/>
        </w:rPr>
        <w:t>1 case</w:t>
      </w:r>
      <w:r w:rsidRPr="002529CB">
        <w:rPr>
          <w:rFonts w:ascii="Arial" w:hAnsi="Arial" w:cs="Arial"/>
          <w:i/>
          <w:sz w:val="20"/>
          <w:szCs w:val="20"/>
        </w:rPr>
        <w:t xml:space="preserve"> of </w:t>
      </w:r>
      <w:r>
        <w:rPr>
          <w:rFonts w:ascii="Arial" w:hAnsi="Arial" w:cs="Arial"/>
          <w:i/>
          <w:sz w:val="20"/>
          <w:szCs w:val="20"/>
        </w:rPr>
        <w:t>heterozygous mutation of gene</w:t>
      </w:r>
      <w:r>
        <w:rPr>
          <w:rFonts w:ascii="Arial" w:hAnsi="Arial" w:cs="Arial"/>
          <w:i/>
          <w:iCs/>
          <w:sz w:val="20"/>
          <w:szCs w:val="20"/>
        </w:rPr>
        <w:t xml:space="preserve"> MT-TL1. </w:t>
      </w:r>
      <w:r w:rsidRPr="002529CB">
        <w:rPr>
          <w:rFonts w:ascii="Arial" w:hAnsi="Arial" w:cs="Arial"/>
          <w:i/>
          <w:sz w:val="20"/>
          <w:szCs w:val="20"/>
        </w:rPr>
        <w:t>No </w:t>
      </w:r>
      <w:r>
        <w:rPr>
          <w:rFonts w:ascii="Arial" w:hAnsi="Arial" w:cs="Arial"/>
          <w:bCs/>
          <w:i/>
          <w:iCs/>
          <w:sz w:val="20"/>
          <w:szCs w:val="20"/>
        </w:rPr>
        <w:t>mutations</w:t>
      </w:r>
      <w:r w:rsidRPr="002529CB">
        <w:rPr>
          <w:rFonts w:ascii="Arial" w:hAnsi="Arial" w:cs="Arial"/>
          <w:i/>
          <w:sz w:val="20"/>
          <w:szCs w:val="20"/>
        </w:rPr>
        <w:t> were identified in the </w:t>
      </w:r>
      <w:r w:rsidRPr="002529CB">
        <w:rPr>
          <w:rFonts w:ascii="Arial" w:hAnsi="Arial" w:cs="Arial"/>
          <w:bCs/>
          <w:i/>
          <w:iCs/>
          <w:sz w:val="20"/>
          <w:szCs w:val="20"/>
        </w:rPr>
        <w:t xml:space="preserve">control group. </w:t>
      </w:r>
      <w:r w:rsidRPr="002529CB">
        <w:rPr>
          <w:rFonts w:ascii="Arial" w:hAnsi="Arial" w:cs="Arial"/>
          <w:b/>
          <w:bCs/>
          <w:i/>
          <w:sz w:val="20"/>
          <w:szCs w:val="20"/>
        </w:rPr>
        <w:t>Conclusion: </w:t>
      </w:r>
      <w:r w:rsidRPr="002529CB">
        <w:rPr>
          <w:rFonts w:ascii="Arial" w:hAnsi="Arial" w:cs="Arial"/>
          <w:i/>
          <w:sz w:val="20"/>
          <w:szCs w:val="20"/>
        </w:rPr>
        <w:t>The incidence of deafness mutatio</w:t>
      </w:r>
      <w:r>
        <w:rPr>
          <w:rFonts w:ascii="Arial" w:hAnsi="Arial" w:cs="Arial"/>
          <w:i/>
          <w:sz w:val="20"/>
          <w:szCs w:val="20"/>
        </w:rPr>
        <w:t>ns in hearing-loss group is 18.7</w:t>
      </w:r>
      <w:r w:rsidRPr="002529CB">
        <w:rPr>
          <w:rFonts w:ascii="Arial" w:hAnsi="Arial" w:cs="Arial"/>
          <w:i/>
          <w:sz w:val="20"/>
          <w:szCs w:val="20"/>
        </w:rPr>
        <w:t>5</w:t>
      </w:r>
      <w:r w:rsidRPr="002529CB">
        <w:rPr>
          <w:rFonts w:ascii="Arial" w:hAnsi="Arial" w:cs="Arial"/>
          <w:i/>
          <w:sz w:val="20"/>
          <w:szCs w:val="20"/>
          <w:lang w:val="vi-VN"/>
        </w:rPr>
        <w:t>%. </w:t>
      </w:r>
      <w:r w:rsidRPr="002529CB">
        <w:rPr>
          <w:rFonts w:ascii="Arial" w:hAnsi="Arial" w:cs="Arial"/>
          <w:i/>
          <w:sz w:val="20"/>
          <w:szCs w:val="20"/>
        </w:rPr>
        <w:t>Mutations of </w:t>
      </w:r>
      <w:r w:rsidRPr="002529CB">
        <w:rPr>
          <w:rFonts w:ascii="Arial" w:hAnsi="Arial" w:cs="Arial"/>
          <w:i/>
          <w:iCs/>
          <w:sz w:val="20"/>
          <w:szCs w:val="20"/>
        </w:rPr>
        <w:t>GJB2 </w:t>
      </w:r>
      <w:r w:rsidRPr="002529CB">
        <w:rPr>
          <w:rFonts w:ascii="Arial" w:hAnsi="Arial" w:cs="Arial"/>
          <w:i/>
          <w:sz w:val="20"/>
          <w:szCs w:val="20"/>
        </w:rPr>
        <w:t>cover the largest proportion </w:t>
      </w:r>
      <w:r w:rsidRPr="002529CB">
        <w:rPr>
          <w:rFonts w:ascii="Arial" w:hAnsi="Arial" w:cs="Arial"/>
          <w:i/>
          <w:sz w:val="20"/>
          <w:szCs w:val="20"/>
          <w:lang w:val="vi-VN"/>
        </w:rPr>
        <w:t>(</w:t>
      </w:r>
      <w:r>
        <w:rPr>
          <w:rFonts w:ascii="Arial" w:hAnsi="Arial" w:cs="Arial"/>
          <w:i/>
          <w:sz w:val="20"/>
          <w:szCs w:val="20"/>
        </w:rPr>
        <w:t>8.75</w:t>
      </w:r>
      <w:r w:rsidRPr="002529CB">
        <w:rPr>
          <w:rFonts w:ascii="Arial" w:hAnsi="Arial" w:cs="Arial"/>
          <w:i/>
          <w:sz w:val="20"/>
          <w:szCs w:val="20"/>
          <w:lang w:val="vi-VN"/>
        </w:rPr>
        <w:t>%) </w:t>
      </w:r>
      <w:r w:rsidRPr="002529CB">
        <w:rPr>
          <w:rFonts w:ascii="Arial" w:hAnsi="Arial" w:cs="Arial"/>
          <w:i/>
          <w:sz w:val="20"/>
          <w:szCs w:val="20"/>
        </w:rPr>
        <w:t>among 18 genes investigated</w:t>
      </w:r>
      <w:r w:rsidRPr="002529CB">
        <w:rPr>
          <w:rFonts w:ascii="Arial" w:hAnsi="Arial" w:cs="Arial"/>
          <w:i/>
          <w:sz w:val="20"/>
          <w:szCs w:val="20"/>
          <w:lang w:val="vi-VN"/>
        </w:rPr>
        <w:t xml:space="preserve">. </w:t>
      </w:r>
      <w:r w:rsidRPr="002529CB">
        <w:rPr>
          <w:rFonts w:ascii="Arial" w:hAnsi="Arial" w:cs="Arial"/>
          <w:i/>
          <w:sz w:val="20"/>
          <w:szCs w:val="20"/>
        </w:rPr>
        <w:t xml:space="preserve">In this review, we describe commonly used genomic technologies as well as the application of these technologies to the genetic diagnosis of deafness and to the discovery </w:t>
      </w:r>
      <w:r>
        <w:rPr>
          <w:rFonts w:ascii="Arial" w:hAnsi="Arial" w:cs="Arial"/>
          <w:i/>
          <w:sz w:val="20"/>
          <w:szCs w:val="20"/>
        </w:rPr>
        <w:t xml:space="preserve">of novel genes for </w:t>
      </w:r>
      <w:r w:rsidRPr="002529CB">
        <w:rPr>
          <w:rFonts w:ascii="Arial" w:hAnsi="Arial" w:cs="Arial"/>
          <w:i/>
          <w:sz w:val="20"/>
          <w:szCs w:val="20"/>
        </w:rPr>
        <w:t xml:space="preserve"> non</w:t>
      </w:r>
      <w:r>
        <w:rPr>
          <w:rFonts w:ascii="Arial" w:hAnsi="Arial" w:cs="Arial"/>
          <w:i/>
          <w:sz w:val="20"/>
          <w:szCs w:val="20"/>
        </w:rPr>
        <w:t>-</w:t>
      </w:r>
      <w:r w:rsidRPr="002529CB">
        <w:rPr>
          <w:rFonts w:ascii="Arial" w:hAnsi="Arial" w:cs="Arial"/>
          <w:i/>
          <w:sz w:val="20"/>
          <w:szCs w:val="20"/>
        </w:rPr>
        <w:t>syndromic deafness.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BA393C">
        <w:rPr>
          <w:color w:val="BF5A14"/>
        </w:rPr>
        <w:t>Table</w:t>
      </w:r>
    </w:p>
    <w:p w:rsidR="00AE3E37" w:rsidRDefault="00AE3E37">
      <w:pPr>
        <w:pStyle w:val="BodyText"/>
        <w:spacing w:before="2"/>
        <w:rPr>
          <w:noProof/>
        </w:rPr>
      </w:pPr>
    </w:p>
    <w:tbl>
      <w:tblPr>
        <w:tblStyle w:val="TableGrid"/>
        <w:tblpPr w:leftFromText="180" w:rightFromText="180" w:vertAnchor="text" w:horzAnchor="page" w:tblpX="6596" w:tblpY="7"/>
        <w:tblW w:w="4226" w:type="dxa"/>
        <w:tblLook w:val="04A0" w:firstRow="1" w:lastRow="0" w:firstColumn="1" w:lastColumn="0" w:noHBand="0" w:noVBand="1"/>
      </w:tblPr>
      <w:tblGrid>
        <w:gridCol w:w="4975"/>
      </w:tblGrid>
      <w:tr w:rsidR="00BA393C" w:rsidTr="00BA393C">
        <w:trPr>
          <w:trHeight w:val="262"/>
        </w:trPr>
        <w:tc>
          <w:tcPr>
            <w:tcW w:w="4226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94"/>
              <w:gridCol w:w="968"/>
              <w:gridCol w:w="832"/>
              <w:gridCol w:w="855"/>
              <w:gridCol w:w="502"/>
              <w:gridCol w:w="434"/>
              <w:gridCol w:w="464"/>
            </w:tblGrid>
            <w:tr w:rsidR="00BA393C" w:rsidRPr="00BA393C" w:rsidTr="00C277D1">
              <w:trPr>
                <w:trHeight w:val="265"/>
                <w:jc w:val="center"/>
              </w:trPr>
              <w:tc>
                <w:tcPr>
                  <w:tcW w:w="915" w:type="dxa"/>
                  <w:vMerge w:val="restart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b/>
                      <w:sz w:val="16"/>
                      <w:szCs w:val="16"/>
                    </w:rPr>
                    <w:t>Gene</w:t>
                  </w:r>
                </w:p>
              </w:tc>
              <w:tc>
                <w:tcPr>
                  <w:tcW w:w="1398" w:type="dxa"/>
                  <w:vMerge w:val="restart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b/>
                      <w:sz w:val="16"/>
                      <w:szCs w:val="16"/>
                    </w:rPr>
                    <w:t>Mụtation</w:t>
                  </w:r>
                </w:p>
              </w:tc>
              <w:tc>
                <w:tcPr>
                  <w:tcW w:w="1738" w:type="dxa"/>
                  <w:gridSpan w:val="2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eastAsia="Calibri"/>
                      <w:color w:val="31849B"/>
                      <w:sz w:val="16"/>
                      <w:szCs w:val="16"/>
                    </w:rPr>
                    <w:t>Carrier number</w:t>
                  </w:r>
                </w:p>
              </w:tc>
              <w:tc>
                <w:tcPr>
                  <w:tcW w:w="898" w:type="dxa"/>
                  <w:vMerge w:val="restart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eastAsia="Calibri"/>
                      <w:color w:val="31849B"/>
                      <w:sz w:val="16"/>
                      <w:szCs w:val="16"/>
                    </w:rPr>
                    <w:t>Carrie</w:t>
                  </w:r>
                  <w:r w:rsidRPr="00BA393C">
                    <w:rPr>
                      <w:color w:val="31849B"/>
                      <w:sz w:val="16"/>
                      <w:szCs w:val="16"/>
                    </w:rPr>
                    <w:t xml:space="preserve"> r</w:t>
                  </w:r>
                  <w:r w:rsidRPr="00BA393C">
                    <w:rPr>
                      <w:rFonts w:eastAsia="Calibri"/>
                      <w:color w:val="31849B"/>
                      <w:sz w:val="16"/>
                      <w:szCs w:val="16"/>
                    </w:rPr>
                    <w:t xml:space="preserve">ate </w:t>
                  </w: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851" w:type="dxa"/>
                  <w:gridSpan w:val="2"/>
                  <w:vMerge w:val="restart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eastAsia="Calibri"/>
                      <w:sz w:val="16"/>
                      <w:szCs w:val="16"/>
                    </w:rPr>
                  </w:pPr>
                  <w:r w:rsidRPr="00BA393C">
                    <w:rPr>
                      <w:rFonts w:eastAsia="Calibri"/>
                      <w:color w:val="31849B"/>
                      <w:sz w:val="16"/>
                      <w:szCs w:val="16"/>
                    </w:rPr>
                    <w:t xml:space="preserve">Carrier rate </w:t>
                  </w:r>
                </w:p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eastAsia="Calibri"/>
                      <w:sz w:val="16"/>
                      <w:szCs w:val="16"/>
                    </w:rPr>
                  </w:pPr>
                  <w:r w:rsidRPr="00BA393C">
                    <w:rPr>
                      <w:rFonts w:eastAsia="Calibri"/>
                      <w:color w:val="31849B"/>
                      <w:sz w:val="16"/>
                      <w:szCs w:val="16"/>
                    </w:rPr>
                    <w:t xml:space="preserve">% in total </w:t>
                  </w:r>
                </w:p>
                <w:p w:rsidR="00BA393C" w:rsidRPr="00BA393C" w:rsidRDefault="00BA393C" w:rsidP="00BA393C">
                  <w:pPr>
                    <w:framePr w:hSpace="180" w:wrap="around" w:vAnchor="text" w:hAnchor="page" w:x="6596" w:y="7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BA393C" w:rsidRPr="00BA393C" w:rsidTr="00C277D1">
              <w:trPr>
                <w:trHeight w:val="561"/>
                <w:jc w:val="center"/>
              </w:trPr>
              <w:tc>
                <w:tcPr>
                  <w:tcW w:w="915" w:type="dxa"/>
                  <w:vMerge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  <w:vMerge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eastAsia="Calibri"/>
                      <w:b/>
                      <w:color w:val="31849B"/>
                      <w:sz w:val="16"/>
                      <w:szCs w:val="16"/>
                    </w:rPr>
                    <w:t>Homozygous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eastAsia="Calibri"/>
                      <w:b/>
                      <w:color w:val="31849B"/>
                      <w:sz w:val="16"/>
                      <w:szCs w:val="16"/>
                    </w:rPr>
                    <w:t>Heterozygous</w:t>
                  </w:r>
                </w:p>
              </w:tc>
              <w:tc>
                <w:tcPr>
                  <w:tcW w:w="898" w:type="dxa"/>
                  <w:vMerge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851" w:type="dxa"/>
                  <w:gridSpan w:val="2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BA393C" w:rsidRPr="00BA393C" w:rsidTr="00C277D1">
              <w:trPr>
                <w:trHeight w:val="280"/>
                <w:jc w:val="center"/>
              </w:trPr>
              <w:tc>
                <w:tcPr>
                  <w:tcW w:w="915" w:type="dxa"/>
                  <w:vMerge w:val="restart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GJB2</w:t>
                  </w: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c.299-300delAT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5*</w:t>
                  </w:r>
                </w:p>
              </w:tc>
              <w:tc>
                <w:tcPr>
                  <w:tcW w:w="898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29,41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6.25</w:t>
                  </w:r>
                </w:p>
              </w:tc>
              <w:tc>
                <w:tcPr>
                  <w:tcW w:w="1070" w:type="dxa"/>
                  <w:vMerge w:val="restart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Total</w:t>
                  </w:r>
                </w:p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12.5</w:t>
                  </w:r>
                </w:p>
              </w:tc>
            </w:tr>
            <w:tr w:rsidR="00BA393C" w:rsidRPr="00BA393C" w:rsidTr="00C277D1">
              <w:trPr>
                <w:trHeight w:val="280"/>
                <w:jc w:val="center"/>
              </w:trPr>
              <w:tc>
                <w:tcPr>
                  <w:tcW w:w="915" w:type="dxa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c.235delC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898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11,76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1070" w:type="dxa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BA393C" w:rsidRPr="00BA393C" w:rsidTr="00C277D1">
              <w:trPr>
                <w:trHeight w:val="280"/>
                <w:jc w:val="center"/>
              </w:trPr>
              <w:tc>
                <w:tcPr>
                  <w:tcW w:w="915" w:type="dxa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  <w:lang w:val="it-IT"/>
                    </w:rPr>
                    <w:t>c.512insAACG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98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17,66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3.75</w:t>
                  </w:r>
                </w:p>
              </w:tc>
              <w:tc>
                <w:tcPr>
                  <w:tcW w:w="1070" w:type="dxa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BA393C" w:rsidRPr="00BA393C" w:rsidTr="00C277D1">
              <w:trPr>
                <w:trHeight w:val="265"/>
                <w:jc w:val="center"/>
              </w:trPr>
              <w:tc>
                <w:tcPr>
                  <w:tcW w:w="915" w:type="dxa"/>
                  <w:vMerge w:val="restart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MT - RNR1</w:t>
                  </w: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  <w:lang w:val="it-IT"/>
                    </w:rPr>
                    <w:t>m.827A&gt;G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5,9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  <w:tc>
                <w:tcPr>
                  <w:tcW w:w="1070" w:type="dxa"/>
                  <w:vMerge w:val="restart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2.5</w:t>
                  </w:r>
                </w:p>
              </w:tc>
            </w:tr>
            <w:tr w:rsidR="00BA393C" w:rsidRPr="00BA393C" w:rsidTr="00C277D1">
              <w:trPr>
                <w:trHeight w:val="296"/>
                <w:jc w:val="center"/>
              </w:trPr>
              <w:tc>
                <w:tcPr>
                  <w:tcW w:w="915" w:type="dxa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m.961delTinsC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5,9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  <w:tc>
                <w:tcPr>
                  <w:tcW w:w="1070" w:type="dxa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BA393C" w:rsidRPr="00BA393C" w:rsidTr="00C277D1">
              <w:trPr>
                <w:trHeight w:val="265"/>
                <w:jc w:val="center"/>
              </w:trPr>
              <w:tc>
                <w:tcPr>
                  <w:tcW w:w="915" w:type="dxa"/>
                  <w:vMerge w:val="restart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SLC26A4</w:t>
                  </w: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c.2168A&gt;G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5,9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  <w:tc>
                <w:tcPr>
                  <w:tcW w:w="1070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</w:tr>
            <w:tr w:rsidR="00BA393C" w:rsidRPr="00BA393C" w:rsidTr="00C277D1">
              <w:trPr>
                <w:trHeight w:val="280"/>
                <w:jc w:val="center"/>
              </w:trPr>
              <w:tc>
                <w:tcPr>
                  <w:tcW w:w="915" w:type="dxa"/>
                  <w:vMerge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  <w:lang w:val="it-IT"/>
                    </w:rPr>
                  </w:pP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c.439A&gt;G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5,9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  <w:tc>
                <w:tcPr>
                  <w:tcW w:w="1070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</w:tr>
            <w:tr w:rsidR="00BA393C" w:rsidRPr="00BA393C" w:rsidTr="00C277D1">
              <w:trPr>
                <w:trHeight w:val="280"/>
                <w:jc w:val="center"/>
              </w:trPr>
              <w:tc>
                <w:tcPr>
                  <w:tcW w:w="915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  <w:lang w:val="it-IT"/>
                    </w:rPr>
                    <w:t>TMC1</w:t>
                  </w: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c.1334G&gt;A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5,9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  <w:tc>
                <w:tcPr>
                  <w:tcW w:w="1070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</w:tr>
            <w:tr w:rsidR="00BA393C" w:rsidRPr="00BA393C" w:rsidTr="00C277D1">
              <w:trPr>
                <w:trHeight w:val="265"/>
                <w:jc w:val="center"/>
              </w:trPr>
              <w:tc>
                <w:tcPr>
                  <w:tcW w:w="915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  <w:lang w:val="it-IT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  <w:lang w:val="it-IT"/>
                    </w:rPr>
                    <w:t>MT-TL1</w:t>
                  </w: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m.3243A&gt;G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5,9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  <w:tc>
                <w:tcPr>
                  <w:tcW w:w="1070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</w:tr>
            <w:tr w:rsidR="00BA393C" w:rsidRPr="00BA393C" w:rsidTr="00C277D1">
              <w:trPr>
                <w:trHeight w:val="265"/>
                <w:jc w:val="center"/>
              </w:trPr>
              <w:tc>
                <w:tcPr>
                  <w:tcW w:w="915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  <w:lang w:val="it-IT"/>
                    </w:rPr>
                    <w:t>MT-TH</w:t>
                  </w:r>
                </w:p>
              </w:tc>
              <w:tc>
                <w:tcPr>
                  <w:tcW w:w="13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m.12201T&gt;C</w:t>
                  </w:r>
                </w:p>
              </w:tc>
              <w:tc>
                <w:tcPr>
                  <w:tcW w:w="852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98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5,9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  <w:tc>
                <w:tcPr>
                  <w:tcW w:w="1070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sz w:val="16"/>
                      <w:szCs w:val="16"/>
                    </w:rPr>
                    <w:t>1.25</w:t>
                  </w:r>
                </w:p>
              </w:tc>
            </w:tr>
            <w:tr w:rsidR="00BA393C" w:rsidRPr="00BA393C" w:rsidTr="00C277D1">
              <w:trPr>
                <w:trHeight w:val="265"/>
                <w:jc w:val="center"/>
              </w:trPr>
              <w:tc>
                <w:tcPr>
                  <w:tcW w:w="2313" w:type="dxa"/>
                  <w:gridSpan w:val="2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b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738" w:type="dxa"/>
                  <w:gridSpan w:val="2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b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898" w:type="dxa"/>
                  <w:vAlign w:val="center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A393C">
                    <w:rPr>
                      <w:rFonts w:ascii="Arial" w:hAnsi="Arial" w:cs="Arial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781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070" w:type="dxa"/>
                </w:tcPr>
                <w:p w:rsidR="00BA393C" w:rsidRPr="00BA393C" w:rsidRDefault="00BA393C" w:rsidP="00BA393C">
                  <w:pPr>
                    <w:framePr w:hSpace="180" w:wrap="around" w:vAnchor="text" w:hAnchor="page" w:x="6596" w:y="7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:rsidR="00BA393C" w:rsidRPr="00BA393C" w:rsidRDefault="00BA393C" w:rsidP="00BA393C">
            <w:pPr>
              <w:pStyle w:val="BodyText"/>
              <w:spacing w:before="2"/>
              <w:rPr>
                <w:rFonts w:ascii="Arial"/>
                <w:b/>
                <w:sz w:val="16"/>
                <w:szCs w:val="16"/>
              </w:rPr>
            </w:pPr>
          </w:p>
        </w:tc>
      </w:tr>
    </w:tbl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D95E31">
        <w:rPr>
          <w:rFonts w:ascii="Arial"/>
          <w:b/>
          <w:color w:val="BF5A14"/>
          <w:sz w:val="20"/>
        </w:rPr>
        <w:t>References</w:t>
      </w:r>
    </w:p>
    <w:p w:rsidR="00BA393C" w:rsidRDefault="00BA393C" w:rsidP="00BA393C"/>
    <w:p w:rsidR="00BA393C" w:rsidRPr="00BA393C" w:rsidRDefault="00BA393C" w:rsidP="00BA393C">
      <w:pPr>
        <w:widowControl/>
        <w:numPr>
          <w:ilvl w:val="0"/>
          <w:numId w:val="4"/>
        </w:numPr>
        <w:spacing w:line="276" w:lineRule="auto"/>
        <w:ind w:left="426" w:firstLine="284"/>
        <w:jc w:val="both"/>
        <w:rPr>
          <w:rFonts w:ascii="Arial" w:hAnsi="Arial" w:cs="Arial"/>
          <w:sz w:val="16"/>
          <w:szCs w:val="16"/>
        </w:rPr>
      </w:pPr>
      <w:r w:rsidRPr="00BA393C">
        <w:rPr>
          <w:rFonts w:ascii="Arial" w:hAnsi="Arial" w:cs="Arial"/>
          <w:b/>
          <w:sz w:val="16"/>
          <w:szCs w:val="16"/>
        </w:rPr>
        <w:t>M. Rennels and L. K. Pickering,</w:t>
      </w:r>
      <w:r w:rsidRPr="00BA393C">
        <w:rPr>
          <w:rFonts w:ascii="Arial" w:hAnsi="Arial" w:cs="Arial"/>
          <w:sz w:val="16"/>
          <w:szCs w:val="16"/>
        </w:rPr>
        <w:t xml:space="preserve"> “Sensorineural hearing loss in children.,” Lancet, vol. 365, no. 9477, pp. 2085–2086, 2005.</w:t>
      </w:r>
    </w:p>
    <w:p w:rsidR="00BA393C" w:rsidRPr="00BA393C" w:rsidRDefault="00BA393C" w:rsidP="00BA393C">
      <w:pPr>
        <w:widowControl/>
        <w:numPr>
          <w:ilvl w:val="0"/>
          <w:numId w:val="4"/>
        </w:numPr>
        <w:spacing w:line="276" w:lineRule="auto"/>
        <w:ind w:left="426" w:firstLine="284"/>
        <w:jc w:val="both"/>
        <w:rPr>
          <w:rFonts w:ascii="Arial" w:hAnsi="Arial" w:cs="Arial"/>
          <w:sz w:val="16"/>
          <w:szCs w:val="16"/>
        </w:rPr>
      </w:pPr>
      <w:r w:rsidRPr="00BA393C">
        <w:rPr>
          <w:rFonts w:ascii="Arial" w:hAnsi="Arial" w:cs="Arial"/>
          <w:b/>
          <w:sz w:val="16"/>
          <w:szCs w:val="16"/>
        </w:rPr>
        <w:t>D. Yan, H. J. Park, X. M. Ouyang et al (2003),</w:t>
      </w:r>
      <w:r w:rsidRPr="00BA393C">
        <w:rPr>
          <w:rFonts w:ascii="Arial" w:hAnsi="Arial" w:cs="Arial"/>
          <w:sz w:val="16"/>
          <w:szCs w:val="16"/>
        </w:rPr>
        <w:t xml:space="preserve"> “Evidence of a founder effect for the 235delC mutation of GJB2 (connexin 26) in east Asians,” Hum. Genet., vol. 114, no. 1, pp. 44–50, 2003.</w:t>
      </w:r>
    </w:p>
    <w:p w:rsidR="00BA393C" w:rsidRPr="00BA393C" w:rsidRDefault="00BA393C" w:rsidP="00BA393C">
      <w:pPr>
        <w:widowControl/>
        <w:numPr>
          <w:ilvl w:val="0"/>
          <w:numId w:val="4"/>
        </w:numPr>
        <w:spacing w:line="276" w:lineRule="auto"/>
        <w:ind w:left="426" w:firstLine="284"/>
        <w:jc w:val="both"/>
        <w:rPr>
          <w:rFonts w:ascii="Arial" w:hAnsi="Arial" w:cs="Arial"/>
          <w:sz w:val="16"/>
          <w:szCs w:val="16"/>
        </w:rPr>
      </w:pPr>
      <w:r w:rsidRPr="00BA393C">
        <w:rPr>
          <w:rFonts w:ascii="Arial" w:hAnsi="Arial" w:cs="Arial"/>
          <w:b/>
          <w:sz w:val="16"/>
          <w:szCs w:val="16"/>
        </w:rPr>
        <w:t>X. Z. Liu, X. J. Xia, X. M. Ke et al (2000),</w:t>
      </w:r>
      <w:r w:rsidRPr="00BA393C">
        <w:rPr>
          <w:rFonts w:ascii="Arial" w:hAnsi="Arial" w:cs="Arial"/>
          <w:sz w:val="16"/>
          <w:szCs w:val="16"/>
        </w:rPr>
        <w:t xml:space="preserve"> “The prevalence of connexin 26 (GJB2) mutations in the Chinese population,” Hum. Genet., vol. 111, pp. 394–397, 2002.</w:t>
      </w:r>
    </w:p>
    <w:p w:rsidR="00BA393C" w:rsidRPr="00BA393C" w:rsidRDefault="00BA393C" w:rsidP="00BA393C">
      <w:pPr>
        <w:widowControl/>
        <w:numPr>
          <w:ilvl w:val="0"/>
          <w:numId w:val="4"/>
        </w:numPr>
        <w:spacing w:line="276" w:lineRule="auto"/>
        <w:ind w:left="426" w:firstLine="284"/>
        <w:jc w:val="both"/>
        <w:rPr>
          <w:rFonts w:ascii="Arial" w:hAnsi="Arial" w:cs="Arial"/>
          <w:sz w:val="16"/>
          <w:szCs w:val="16"/>
        </w:rPr>
      </w:pPr>
      <w:r w:rsidRPr="00BA393C">
        <w:rPr>
          <w:rFonts w:ascii="Arial" w:hAnsi="Arial" w:cs="Arial"/>
          <w:b/>
          <w:sz w:val="16"/>
          <w:szCs w:val="16"/>
        </w:rPr>
        <w:t>Qinjun Wei, Shuai Wang</w:t>
      </w:r>
      <w:r w:rsidRPr="00BA393C">
        <w:rPr>
          <w:rFonts w:ascii="Arial" w:hAnsi="Arial" w:cs="Arial"/>
          <w:b/>
          <w:sz w:val="16"/>
          <w:szCs w:val="16"/>
          <w:lang w:val="vi-VN"/>
        </w:rPr>
        <w:t xml:space="preserve">, </w:t>
      </w:r>
      <w:r w:rsidRPr="00BA393C">
        <w:rPr>
          <w:rFonts w:ascii="Arial" w:hAnsi="Arial" w:cs="Arial"/>
          <w:b/>
          <w:sz w:val="16"/>
          <w:szCs w:val="16"/>
        </w:rPr>
        <w:t>Xin Cao</w:t>
      </w:r>
      <w:r w:rsidRPr="00BA393C">
        <w:rPr>
          <w:rFonts w:ascii="Arial" w:hAnsi="Arial" w:cs="Arial"/>
          <w:b/>
          <w:sz w:val="16"/>
          <w:szCs w:val="16"/>
          <w:lang w:val="vi-VN"/>
        </w:rPr>
        <w:t xml:space="preserve"> et al (2013)</w:t>
      </w:r>
      <w:r w:rsidRPr="00BA393C">
        <w:rPr>
          <w:rFonts w:ascii="Arial" w:hAnsi="Arial" w:cs="Arial"/>
          <w:b/>
          <w:sz w:val="16"/>
          <w:szCs w:val="16"/>
        </w:rPr>
        <w:t>,</w:t>
      </w:r>
      <w:r w:rsidRPr="00BA393C">
        <w:rPr>
          <w:rFonts w:ascii="Arial" w:hAnsi="Arial" w:cs="Arial"/>
          <w:sz w:val="16"/>
          <w:szCs w:val="16"/>
          <w:lang w:val="vi-VN"/>
        </w:rPr>
        <w:t xml:space="preserve"> </w:t>
      </w:r>
      <w:r w:rsidRPr="00BA393C">
        <w:rPr>
          <w:rFonts w:ascii="Arial" w:hAnsi="Arial" w:cs="Arial"/>
          <w:sz w:val="16"/>
          <w:szCs w:val="16"/>
        </w:rPr>
        <w:t>“Genetic </w:t>
      </w:r>
      <w:r w:rsidRPr="00BA393C">
        <w:rPr>
          <w:rFonts w:ascii="Arial" w:hAnsi="Arial" w:cs="Arial"/>
          <w:bCs/>
          <w:sz w:val="16"/>
          <w:szCs w:val="16"/>
        </w:rPr>
        <w:t>mutations</w:t>
      </w:r>
      <w:r w:rsidRPr="00BA393C">
        <w:rPr>
          <w:rFonts w:ascii="Arial" w:hAnsi="Arial" w:cs="Arial"/>
          <w:sz w:val="16"/>
          <w:szCs w:val="16"/>
        </w:rPr>
        <w:t> of GJB2 and mitochondrial 12S rRNA in nonsyndromic hearing loss in Jiangsu Province of China”</w:t>
      </w:r>
      <w:r w:rsidRPr="00BA393C">
        <w:rPr>
          <w:rFonts w:ascii="Arial" w:hAnsi="Arial" w:cs="Arial"/>
          <w:sz w:val="16"/>
          <w:szCs w:val="16"/>
          <w:lang w:val="vi-VN"/>
        </w:rPr>
        <w:t>. Journal of Translational Medicine, 11, 163</w:t>
      </w:r>
      <w:r w:rsidRPr="00BA393C">
        <w:rPr>
          <w:rFonts w:ascii="Arial" w:hAnsi="Arial" w:cs="Arial"/>
          <w:sz w:val="16"/>
          <w:szCs w:val="16"/>
        </w:rPr>
        <w:t>.</w:t>
      </w:r>
    </w:p>
    <w:p w:rsidR="00BA393C" w:rsidRPr="00BA393C" w:rsidRDefault="00BA393C" w:rsidP="00BA393C">
      <w:pPr>
        <w:widowControl/>
        <w:numPr>
          <w:ilvl w:val="0"/>
          <w:numId w:val="4"/>
        </w:numPr>
        <w:spacing w:line="276" w:lineRule="auto"/>
        <w:ind w:left="426" w:firstLine="284"/>
        <w:jc w:val="both"/>
        <w:rPr>
          <w:rFonts w:ascii="Arial" w:hAnsi="Arial" w:cs="Arial"/>
          <w:sz w:val="16"/>
          <w:szCs w:val="16"/>
        </w:rPr>
      </w:pPr>
      <w:r w:rsidRPr="00BA393C">
        <w:rPr>
          <w:rFonts w:ascii="Arial" w:hAnsi="Arial" w:cs="Arial"/>
          <w:b/>
          <w:sz w:val="16"/>
          <w:szCs w:val="16"/>
          <w:lang w:val="vi-VN"/>
        </w:rPr>
        <w:t>Yuan Yong-yi, Dai Pu, Yu Fei et al (2007)</w:t>
      </w:r>
      <w:r w:rsidRPr="00BA393C">
        <w:rPr>
          <w:rFonts w:ascii="Arial" w:hAnsi="Arial" w:cs="Arial"/>
          <w:b/>
          <w:sz w:val="16"/>
          <w:szCs w:val="16"/>
        </w:rPr>
        <w:t>,</w:t>
      </w:r>
      <w:r w:rsidRPr="00BA393C">
        <w:rPr>
          <w:rFonts w:ascii="Arial" w:hAnsi="Arial" w:cs="Arial"/>
          <w:sz w:val="16"/>
          <w:szCs w:val="16"/>
          <w:lang w:val="vi-VN"/>
        </w:rPr>
        <w:t xml:space="preserve"> </w:t>
      </w:r>
      <w:r w:rsidRPr="00BA393C">
        <w:rPr>
          <w:rFonts w:ascii="Arial" w:hAnsi="Arial" w:cs="Arial"/>
          <w:sz w:val="16"/>
          <w:szCs w:val="16"/>
        </w:rPr>
        <w:t>“</w:t>
      </w:r>
      <w:r w:rsidRPr="00BA393C">
        <w:rPr>
          <w:rFonts w:ascii="Arial" w:hAnsi="Arial" w:cs="Arial"/>
          <w:sz w:val="16"/>
          <w:szCs w:val="16"/>
          <w:lang w:val="vi-VN"/>
        </w:rPr>
        <w:t>GJB2 mutation spectrum in Inner Mongolia and its comparison with other Asian populations</w:t>
      </w:r>
      <w:r w:rsidRPr="00BA393C">
        <w:rPr>
          <w:rFonts w:ascii="Arial" w:hAnsi="Arial" w:cs="Arial"/>
          <w:sz w:val="16"/>
          <w:szCs w:val="16"/>
        </w:rPr>
        <w:t>”</w:t>
      </w:r>
      <w:r w:rsidRPr="00BA393C">
        <w:rPr>
          <w:rFonts w:ascii="Arial" w:hAnsi="Arial" w:cs="Arial"/>
          <w:sz w:val="16"/>
          <w:szCs w:val="16"/>
          <w:lang w:val="vi-VN"/>
        </w:rPr>
        <w:t>. Journal of Otology, 2(2), 81</w:t>
      </w:r>
      <w:r w:rsidRPr="00BA393C">
        <w:rPr>
          <w:rFonts w:ascii="Arial" w:hAnsi="Arial" w:cs="Arial"/>
          <w:sz w:val="16"/>
          <w:szCs w:val="16"/>
        </w:rPr>
        <w:t xml:space="preserve"> </w:t>
      </w:r>
      <w:r w:rsidRPr="00BA393C">
        <w:rPr>
          <w:rFonts w:ascii="Arial" w:hAnsi="Arial" w:cs="Arial"/>
          <w:sz w:val="16"/>
          <w:szCs w:val="16"/>
          <w:lang w:val="vi-VN"/>
        </w:rPr>
        <w:t>–</w:t>
      </w:r>
      <w:r w:rsidRPr="00BA393C">
        <w:rPr>
          <w:rFonts w:ascii="Arial" w:hAnsi="Arial" w:cs="Arial"/>
          <w:sz w:val="16"/>
          <w:szCs w:val="16"/>
        </w:rPr>
        <w:t xml:space="preserve"> </w:t>
      </w:r>
      <w:r w:rsidRPr="00BA393C">
        <w:rPr>
          <w:rFonts w:ascii="Arial" w:hAnsi="Arial" w:cs="Arial"/>
          <w:sz w:val="16"/>
          <w:szCs w:val="16"/>
          <w:lang w:val="vi-VN"/>
        </w:rPr>
        <w:t>91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39ECE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BA393C">
        <w:rPr>
          <w:noProof/>
        </w:rPr>
        <w:drawing>
          <wp:inline distT="0" distB="0" distL="0" distR="0" wp14:anchorId="1D4D9AD3" wp14:editId="453942B4">
            <wp:extent cx="532003" cy="676275"/>
            <wp:effectExtent l="0" t="0" r="1905" b="0"/>
            <wp:docPr id="2" name="Picture 2" descr="Trong hÃ¬nh áº£nh cÃ³ thá» cÃ³: LÃ¢m Oanh, áº£nh tá»± sÆ°á»ng vÃ  cáº­n cáº£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ng hÃ¬nh áº£nh cÃ³ thá» cÃ³: LÃ¢m Oanh, áº£nh tá»± sÆ°á»ng vÃ  cáº­n cáº£n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38" cy="688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BA393C" w:rsidRPr="00BA393C" w:rsidRDefault="00BA393C" w:rsidP="00BA393C">
      <w:pPr>
        <w:rPr>
          <w:rFonts w:ascii="Times New Roman" w:hAnsi="Times New Roman" w:cs="Times New Roman"/>
        </w:rPr>
      </w:pPr>
      <w:r w:rsidRPr="00BA393C">
        <w:rPr>
          <w:rFonts w:ascii="Times New Roman" w:hAnsi="Times New Roman" w:cs="Times New Roman"/>
        </w:rPr>
        <w:t xml:space="preserve">Nguyen Thi Trang is a lecturer, scientist specializing in the field of molecular genetics of human diseases. She was the </w:t>
      </w:r>
      <w:r w:rsidRPr="00BA393C">
        <w:rPr>
          <w:rFonts w:ascii="Times New Roman" w:hAnsi="Times New Roman" w:cs="Times New Roman"/>
        </w:rPr>
        <w:t>first person to apply DNA microarray and NGS technology to the diagnosis of a genetic defect. Her main research interests are male infertility, urology, reproductive disorders, autism, cardiovascular disease, cancer and congenital deformities.</w:t>
      </w:r>
    </w:p>
    <w:p w:rsidR="00AE3E37" w:rsidRPr="00BA393C" w:rsidRDefault="00AE3E37" w:rsidP="00BA393C">
      <w:pPr>
        <w:spacing w:before="62"/>
        <w:ind w:left="4217" w:right="4235"/>
        <w:jc w:val="center"/>
        <w:rPr>
          <w:rFonts w:ascii="Arial"/>
          <w:sz w:val="14"/>
        </w:rPr>
      </w:pPr>
      <w:bookmarkStart w:id="0" w:name="_GoBack"/>
      <w:bookmarkEnd w:id="0"/>
    </w:p>
    <w:sectPr w:rsidR="00AE3E37" w:rsidRPr="00BA393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20D" w:rsidRDefault="007C620D">
      <w:r>
        <w:separator/>
      </w:r>
    </w:p>
  </w:endnote>
  <w:endnote w:type="continuationSeparator" w:id="0">
    <w:p w:rsidR="007C620D" w:rsidRDefault="007C6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20D" w:rsidRDefault="007C620D">
      <w:r>
        <w:separator/>
      </w:r>
    </w:p>
  </w:footnote>
  <w:footnote w:type="continuationSeparator" w:id="0">
    <w:p w:rsidR="007C620D" w:rsidRDefault="007C6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50566F1"/>
    <w:multiLevelType w:val="hybridMultilevel"/>
    <w:tmpl w:val="FE189024"/>
    <w:lvl w:ilvl="0" w:tplc="27F8C75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6109B"/>
    <w:rsid w:val="00292ED9"/>
    <w:rsid w:val="002B45DB"/>
    <w:rsid w:val="00404E5B"/>
    <w:rsid w:val="00414F7B"/>
    <w:rsid w:val="004355DC"/>
    <w:rsid w:val="004473B6"/>
    <w:rsid w:val="004749B4"/>
    <w:rsid w:val="00494130"/>
    <w:rsid w:val="004F3523"/>
    <w:rsid w:val="004F41FA"/>
    <w:rsid w:val="005973B9"/>
    <w:rsid w:val="005B3A56"/>
    <w:rsid w:val="006060CE"/>
    <w:rsid w:val="0063497F"/>
    <w:rsid w:val="007C620D"/>
    <w:rsid w:val="00873DF0"/>
    <w:rsid w:val="008756E6"/>
    <w:rsid w:val="009435D3"/>
    <w:rsid w:val="009B2D44"/>
    <w:rsid w:val="00A07E82"/>
    <w:rsid w:val="00A9710C"/>
    <w:rsid w:val="00AE3E37"/>
    <w:rsid w:val="00B21A57"/>
    <w:rsid w:val="00BA393C"/>
    <w:rsid w:val="00BC601E"/>
    <w:rsid w:val="00C33602"/>
    <w:rsid w:val="00CD6F55"/>
    <w:rsid w:val="00D95E31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6062D"/>
  <w15:docId w15:val="{61762637-A971-43BA-986E-009505CD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BA3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2</cp:revision>
  <dcterms:created xsi:type="dcterms:W3CDTF">2018-04-08T10:40:00Z</dcterms:created>
  <dcterms:modified xsi:type="dcterms:W3CDTF">2018-04-08T10:40:00Z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