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4B43B1">
      <w:pPr>
        <w:bidi/>
        <w:jc w:val="both"/>
        <w:rPr>
          <w:sz w:val="22"/>
          <w:szCs w:val="22"/>
          <w:lang w:val="en-GB"/>
        </w:rPr>
      </w:pPr>
      <w:r>
        <w:rPr>
          <w:sz w:val="22"/>
          <w:szCs w:val="22"/>
          <w:lang w:val="en-GB"/>
        </w:rPr>
        <w:t xml:space="preserve">                                                                                                                       </w:t>
      </w:r>
      <w:r w:rsidR="009D52A9">
        <w:rPr>
          <w:noProof/>
          <w:sz w:val="22"/>
          <w:szCs w:val="22"/>
          <w:lang w:val="en-US" w:eastAsia="en-US"/>
        </w:rPr>
        <w:drawing>
          <wp:inline distT="0" distB="0" distL="0" distR="0">
            <wp:extent cx="1542415" cy="1542415"/>
            <wp:effectExtent l="19050" t="0" r="635" b="0"/>
            <wp:docPr id="16" name="Picture 16" descr="C:\Users\Amira Soliman\Pictures\print\GBS_6767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mira Soliman\Pictures\print\GBS_6767 (3).JPG"/>
                    <pic:cNvPicPr>
                      <a:picLocks noChangeAspect="1" noChangeArrowheads="1"/>
                    </pic:cNvPicPr>
                  </pic:nvPicPr>
                  <pic:blipFill>
                    <a:blip r:embed="rId8" cstate="print"/>
                    <a:srcRect/>
                    <a:stretch>
                      <a:fillRect/>
                    </a:stretch>
                  </pic:blipFill>
                  <pic:spPr bwMode="auto">
                    <a:xfrm>
                      <a:off x="0" y="0"/>
                      <a:ext cx="1542415" cy="1542415"/>
                    </a:xfrm>
                    <a:prstGeom prst="rect">
                      <a:avLst/>
                    </a:prstGeom>
                    <a:noFill/>
                    <a:ln w="9525">
                      <a:noFill/>
                      <a:miter lim="800000"/>
                      <a:headEnd/>
                      <a:tailEnd/>
                    </a:ln>
                  </pic:spPr>
                </pic:pic>
              </a:graphicData>
            </a:graphic>
          </wp:inline>
        </w:drawing>
      </w:r>
    </w:p>
    <w:p w:rsidR="0015673F" w:rsidRPr="0015673F" w:rsidRDefault="00AC3BCD" w:rsidP="0015673F">
      <w:pPr>
        <w:pStyle w:val="Default"/>
        <w:rPr>
          <w:sz w:val="28"/>
          <w:szCs w:val="28"/>
        </w:rPr>
      </w:pPr>
      <w:r>
        <w:rPr>
          <w:rFonts w:eastAsia="MS PGothic"/>
          <w:b/>
          <w:sz w:val="28"/>
          <w:szCs w:val="28"/>
        </w:rPr>
        <w:t xml:space="preserve">Title: </w:t>
      </w:r>
      <w:r w:rsidR="0015673F" w:rsidRPr="0015673F">
        <w:rPr>
          <w:sz w:val="28"/>
          <w:szCs w:val="28"/>
        </w:rPr>
        <w:t>Prevalence Of Occult Hepatitis B Virus Among Cancer And Non-Cancer HCV Infected-Pediatric Patients</w:t>
      </w:r>
    </w:p>
    <w:p w:rsidR="00AC3BCD" w:rsidRDefault="00AC3BCD" w:rsidP="0015673F">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15673F">
        <w:rPr>
          <w:rFonts w:eastAsia="MS PGothic" w:hAnsi="Arial"/>
          <w:color w:val="000000"/>
        </w:rPr>
        <w:t>Prof Amira H. Soliman</w:t>
      </w:r>
    </w:p>
    <w:p w:rsidR="00AC3BCD" w:rsidRPr="0015673F" w:rsidRDefault="00AC3BCD" w:rsidP="0015673F">
      <w:pPr>
        <w:rPr>
          <w:rFonts w:eastAsia="MS PGothic" w:hAnsi="Arial"/>
          <w:bCs/>
          <w:color w:val="000000"/>
        </w:rPr>
      </w:pPr>
      <w:r w:rsidRPr="0015673F">
        <w:rPr>
          <w:bCs/>
        </w:rPr>
        <w:t xml:space="preserve">                    </w:t>
      </w:r>
      <w:r w:rsidR="0015673F">
        <w:rPr>
          <w:bCs/>
        </w:rPr>
        <w:t xml:space="preserve">                   </w:t>
      </w:r>
      <w:r w:rsidRPr="0015673F">
        <w:rPr>
          <w:bCs/>
        </w:rPr>
        <w:t xml:space="preserve"> </w:t>
      </w:r>
      <w:r w:rsidR="0015673F" w:rsidRPr="0015673F">
        <w:rPr>
          <w:bCs/>
        </w:rPr>
        <w:t>National Cancer Institute, Cairo University, Egypt</w:t>
      </w:r>
    </w:p>
    <w:p w:rsidR="00AC3BCD" w:rsidRDefault="00AC3BCD" w:rsidP="00AC3BCD">
      <w:pPr>
        <w:jc w:val="center"/>
        <w:rPr>
          <w:rFonts w:eastAsia="Batang"/>
          <w:color w:val="0000FF"/>
          <w:sz w:val="36"/>
          <w:szCs w:val="36"/>
        </w:rPr>
      </w:pPr>
    </w:p>
    <w:p w:rsidR="0015673F" w:rsidRPr="0015673F" w:rsidRDefault="0015673F" w:rsidP="0015673F">
      <w:pPr>
        <w:pStyle w:val="Default"/>
        <w:spacing w:line="276" w:lineRule="auto"/>
        <w:jc w:val="lowKashida"/>
      </w:pPr>
      <w:r w:rsidRPr="0015673F">
        <w:t xml:space="preserve">Occult hepatitis B infection (OBI) is characterized by the presence of hepatitis B virus (HBV) DNA in the serum in the absence of hepatitis B surface antigen (HBs-Ag). Locally reported incidence of hepatitis C virus (HCV) infections in Egypt is among the highest incidence in the world. This study is designed to assess the prevalence of OBI in two groups of Egyptian pediatric patients (HCV cancer patients and HCV non-cancer patients), who gave negative result for the presence of HBs-Ag. All patients were subjected to clinical, biochemical and </w:t>
      </w:r>
      <w:proofErr w:type="spellStart"/>
      <w:r w:rsidRPr="0015673F">
        <w:t>virological</w:t>
      </w:r>
      <w:proofErr w:type="spellEnd"/>
      <w:r w:rsidRPr="0015673F">
        <w:t xml:space="preserve"> assessment. HBV parameters (HBV DNA, anti-</w:t>
      </w:r>
      <w:proofErr w:type="spellStart"/>
      <w:r w:rsidRPr="0015673F">
        <w:t>HBc</w:t>
      </w:r>
      <w:proofErr w:type="spellEnd"/>
      <w:r w:rsidRPr="0015673F">
        <w:t xml:space="preserve">, anti-HBs) were determined. Nested-PCR and real time PCR techniques were used for the detection of HBV-DNA, while real time PCR was used for detection of HCV-RNA. OBI was not observed in the HCV non-cancer pediatric patients but was found in 31% of HCV pediatric cancer patients. There are statistical significant differences between cancer and non-cancer groups regarding the </w:t>
      </w:r>
      <w:proofErr w:type="spellStart"/>
      <w:r w:rsidRPr="0015673F">
        <w:t>transaminases</w:t>
      </w:r>
      <w:proofErr w:type="spellEnd"/>
      <w:r w:rsidRPr="0015673F">
        <w:t xml:space="preserve"> ALT, AST and total </w:t>
      </w:r>
      <w:proofErr w:type="spellStart"/>
      <w:r w:rsidRPr="0015673F">
        <w:t>bilirubin</w:t>
      </w:r>
      <w:proofErr w:type="spellEnd"/>
      <w:r w:rsidRPr="0015673F">
        <w:t xml:space="preserve"> levels, as they are higher among cancer group. Levels of </w:t>
      </w:r>
      <w:proofErr w:type="spellStart"/>
      <w:r w:rsidRPr="0015673F">
        <w:t>HBc-Ab</w:t>
      </w:r>
      <w:proofErr w:type="spellEnd"/>
      <w:r w:rsidRPr="0015673F">
        <w:t xml:space="preserve"> and HBs-</w:t>
      </w:r>
      <w:proofErr w:type="spellStart"/>
      <w:r w:rsidRPr="0015673F">
        <w:t>Ab</w:t>
      </w:r>
      <w:proofErr w:type="spellEnd"/>
      <w:r w:rsidRPr="0015673F">
        <w:t xml:space="preserve"> indicated no significant difference among the HCV cancer patients and non-HCV cancer patients. OBI in this study was found to be more frequent in patients with acute lymphocytic leukemia. In conclusion, these results showed that HBs-Ag negativity is not sufficient to completely exclude HBV-DNA presence.</w:t>
      </w:r>
    </w:p>
    <w:p w:rsidR="00AC3BCD" w:rsidRPr="0015673F" w:rsidRDefault="00AC3BCD" w:rsidP="00AC3BCD">
      <w:pPr>
        <w:jc w:val="both"/>
        <w:rPr>
          <w:color w:val="000000"/>
          <w:lang w:val="en-US"/>
        </w:rPr>
      </w:pPr>
    </w:p>
    <w:p w:rsidR="00AC3BCD" w:rsidRDefault="00AC3BCD" w:rsidP="00AC3BCD">
      <w:pPr>
        <w:jc w:val="both"/>
        <w:rPr>
          <w:b/>
        </w:rPr>
      </w:pPr>
      <w:r>
        <w:rPr>
          <w:b/>
        </w:rPr>
        <w:t>Biography</w:t>
      </w:r>
    </w:p>
    <w:p w:rsidR="00AC3BCD" w:rsidRDefault="00AC3BCD" w:rsidP="00AC3BCD">
      <w:pPr>
        <w:jc w:val="both"/>
        <w:rPr>
          <w:b/>
        </w:rPr>
      </w:pPr>
    </w:p>
    <w:p w:rsidR="00AC3BCD" w:rsidRDefault="007D12A8" w:rsidP="00804EB8">
      <w:pPr>
        <w:jc w:val="both"/>
      </w:pPr>
      <w:r>
        <w:rPr>
          <w:lang w:val="en-NZ"/>
        </w:rPr>
        <w:t>Prof Amira Soliman</w:t>
      </w:r>
      <w:r w:rsidR="00AC3BCD">
        <w:t xml:space="preserve"> has completed h</w:t>
      </w:r>
      <w:r>
        <w:t>er</w:t>
      </w:r>
      <w:r w:rsidR="00AC3BCD">
        <w:t xml:space="preserve"> </w:t>
      </w:r>
      <w:r>
        <w:t>MD</w:t>
      </w:r>
      <w:r w:rsidR="00AC3BCD">
        <w:t xml:space="preserve"> at the age of </w:t>
      </w:r>
      <w:r>
        <w:t>3</w:t>
      </w:r>
      <w:r w:rsidR="00804EB8">
        <w:t>3</w:t>
      </w:r>
      <w:r w:rsidR="00AC3BCD">
        <w:t xml:space="preserve"> years from </w:t>
      </w:r>
      <w:r>
        <w:t>Cairo</w:t>
      </w:r>
      <w:r w:rsidR="00AC3BCD">
        <w:t xml:space="preserve"> University and postdoctoral studies </w:t>
      </w:r>
      <w:r>
        <w:t>of TQM a</w:t>
      </w:r>
      <w:r w:rsidR="00804EB8">
        <w:t xml:space="preserve">nd Healthcare Management Diplomas, </w:t>
      </w:r>
      <w:r w:rsidR="00AC3BCD">
        <w:t xml:space="preserve">from </w:t>
      </w:r>
      <w:r>
        <w:t xml:space="preserve">American </w:t>
      </w:r>
      <w:r w:rsidR="00AC3BCD">
        <w:t xml:space="preserve">University </w:t>
      </w:r>
      <w:r>
        <w:t>in Cairo</w:t>
      </w:r>
      <w:r w:rsidR="00AC3BCD">
        <w:t xml:space="preserve">. </w:t>
      </w:r>
      <w:r w:rsidR="00804EB8">
        <w:t>Sh</w:t>
      </w:r>
      <w:r w:rsidR="00AC3BCD">
        <w:t xml:space="preserve">e is the </w:t>
      </w:r>
      <w:r w:rsidR="00804EB8">
        <w:t>D</w:t>
      </w:r>
      <w:r w:rsidR="00AC3BCD">
        <w:t xml:space="preserve">irector of </w:t>
      </w:r>
      <w:r w:rsidR="00804EB8">
        <w:t>Quality Management Unit</w:t>
      </w:r>
      <w:r w:rsidR="00AC3BCD">
        <w:t>,</w:t>
      </w:r>
      <w:r w:rsidR="00804EB8">
        <w:t xml:space="preserve"> National Cancer Institute, Cairo University</w:t>
      </w:r>
      <w:r w:rsidR="00AC3BCD">
        <w:t xml:space="preserve">. </w:t>
      </w:r>
      <w:r w:rsidR="00804EB8">
        <w:t>Sh</w:t>
      </w:r>
      <w:r w:rsidR="00AC3BCD">
        <w:t xml:space="preserve">e has published more than </w:t>
      </w:r>
      <w:r w:rsidR="00804EB8">
        <w:t>1</w:t>
      </w:r>
      <w:r w:rsidR="00AC3BCD">
        <w:t>5 papers in reputed jour</w:t>
      </w:r>
      <w:r w:rsidR="00804EB8">
        <w:t xml:space="preserve">nals and supervised more than 10 theses </w:t>
      </w:r>
    </w:p>
    <w:p w:rsidR="00804EB8" w:rsidRPr="00A41107" w:rsidRDefault="00804EB8" w:rsidP="00804EB8">
      <w:pPr>
        <w:jc w:val="both"/>
        <w:rPr>
          <w:rFonts w:eastAsia="MS PGothic"/>
          <w:b/>
          <w:color w:val="000000"/>
          <w:szCs w:val="32"/>
        </w:rPr>
      </w:pPr>
    </w:p>
    <w:p w:rsidR="00A41107" w:rsidRPr="008A690F" w:rsidRDefault="00072E30" w:rsidP="0015673F">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15673F">
        <w:rPr>
          <w:lang w:val="en-NZ"/>
        </w:rPr>
        <w:t xml:space="preserve">Prof Amira </w:t>
      </w:r>
      <w:proofErr w:type="spellStart"/>
      <w:r w:rsidR="0015673F">
        <w:rPr>
          <w:lang w:val="en-NZ"/>
        </w:rPr>
        <w:t>Hanafi</w:t>
      </w:r>
      <w:proofErr w:type="spellEnd"/>
      <w:r w:rsidR="0015673F">
        <w:rPr>
          <w:lang w:val="en-NZ"/>
        </w:rPr>
        <w:t xml:space="preserve"> Soliman</w:t>
      </w:r>
      <w:r w:rsidRPr="008A690F">
        <w:rPr>
          <w:lang w:val="en-NZ"/>
        </w:rPr>
        <w:br/>
        <w:t>Contact number:</w:t>
      </w:r>
      <w:r w:rsidR="0015673F">
        <w:rPr>
          <w:lang w:val="en-NZ"/>
        </w:rPr>
        <w:t xml:space="preserve"> 002 0122212 9169</w:t>
      </w:r>
      <w:r w:rsidRPr="008A690F">
        <w:rPr>
          <w:lang w:val="en-NZ"/>
        </w:rPr>
        <w:br/>
        <w:t>Twitter account:</w:t>
      </w:r>
      <w:r w:rsidR="007D12A8">
        <w:rPr>
          <w:lang w:val="en-NZ"/>
        </w:rPr>
        <w:t xml:space="preserve"> </w:t>
      </w:r>
      <w:r w:rsidRPr="008A690F">
        <w:rPr>
          <w:lang w:val="en-NZ"/>
        </w:rPr>
        <w:br/>
        <w:t>Linked In account:</w:t>
      </w:r>
      <w:r w:rsidR="0015673F">
        <w:rPr>
          <w:lang w:val="en-NZ"/>
        </w:rPr>
        <w:t xml:space="preserve"> </w:t>
      </w:r>
      <w:r w:rsidR="007D12A8">
        <w:rPr>
          <w:lang w:val="en-NZ"/>
        </w:rPr>
        <w:t xml:space="preserve">Amira Soliman  </w:t>
      </w:r>
      <w:r w:rsidR="007D12A8" w:rsidRPr="007D12A8">
        <w:rPr>
          <w:lang w:val="en-NZ"/>
        </w:rPr>
        <w:t>https://www.linkedin.com/in/amira-soliman-4a4a3626/</w:t>
      </w:r>
    </w:p>
    <w:p w:rsidR="00AC3BCD" w:rsidRDefault="00AC3BCD" w:rsidP="00945846">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7D12A8">
        <w:rPr>
          <w:lang w:val="en-NZ"/>
        </w:rPr>
        <w:t xml:space="preserve"> Molecular Diagnostics</w:t>
      </w:r>
      <w:r w:rsidRPr="008A690F">
        <w:rPr>
          <w:lang w:val="en-NZ"/>
        </w:rPr>
        <w:br/>
        <w:t>Category: (Oral presentation</w:t>
      </w:r>
      <w:r w:rsidR="007D12A8">
        <w:rPr>
          <w:lang w:val="en-NZ"/>
        </w:rPr>
        <w:t xml:space="preserve"> √</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41CB" w:rsidRDefault="004141CB" w:rsidP="00671A59">
      <w:r>
        <w:separator/>
      </w:r>
    </w:p>
  </w:endnote>
  <w:endnote w:type="continuationSeparator" w:id="0">
    <w:p w:rsidR="004141CB" w:rsidRDefault="004141CB"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Gadugi"/>
    <w:panose1 w:val="020B0502040204020203"/>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41CB" w:rsidRDefault="004141CB" w:rsidP="00671A59">
      <w:r>
        <w:separator/>
      </w:r>
    </w:p>
  </w:footnote>
  <w:footnote w:type="continuationSeparator" w:id="0">
    <w:p w:rsidR="004141CB" w:rsidRDefault="004141CB"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embedSystemFonts/>
  <w:hideSpellingErrors/>
  <w:hideGrammaticalErrors/>
  <w:proofState w:spelling="clean"/>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5673F"/>
    <w:rsid w:val="001A411C"/>
    <w:rsid w:val="001B1336"/>
    <w:rsid w:val="001B6DE6"/>
    <w:rsid w:val="001F414A"/>
    <w:rsid w:val="00205354"/>
    <w:rsid w:val="002659F1"/>
    <w:rsid w:val="00270EC9"/>
    <w:rsid w:val="00292DC0"/>
    <w:rsid w:val="002B18D5"/>
    <w:rsid w:val="002C0F2B"/>
    <w:rsid w:val="003753DD"/>
    <w:rsid w:val="003A4429"/>
    <w:rsid w:val="004141CB"/>
    <w:rsid w:val="004775E3"/>
    <w:rsid w:val="0049217F"/>
    <w:rsid w:val="004A262E"/>
    <w:rsid w:val="004A2CA1"/>
    <w:rsid w:val="004B3B30"/>
    <w:rsid w:val="004B43B1"/>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D12A8"/>
    <w:rsid w:val="007F0333"/>
    <w:rsid w:val="00800D58"/>
    <w:rsid w:val="00804EB8"/>
    <w:rsid w:val="00834D93"/>
    <w:rsid w:val="00862283"/>
    <w:rsid w:val="008A3E9A"/>
    <w:rsid w:val="008A690F"/>
    <w:rsid w:val="00901E5B"/>
    <w:rsid w:val="00945846"/>
    <w:rsid w:val="00970E67"/>
    <w:rsid w:val="009821B4"/>
    <w:rsid w:val="009A6AD9"/>
    <w:rsid w:val="009B0CCF"/>
    <w:rsid w:val="009B7F4F"/>
    <w:rsid w:val="009D3EA4"/>
    <w:rsid w:val="009D52A9"/>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Default">
    <w:name w:val="Default"/>
    <w:rsid w:val="0015673F"/>
    <w:pPr>
      <w:autoSpaceDE w:val="0"/>
      <w:autoSpaceDN w:val="0"/>
      <w:adjustRightInd w:val="0"/>
    </w:pPr>
    <w:rPr>
      <w:rFonts w:eastAsiaTheme="minorHAnsi"/>
      <w:color w:val="000000"/>
      <w:sz w:val="24"/>
      <w:szCs w:val="24"/>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D4999-4AB6-4E09-9986-B2CE21121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2099</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2017-05-09T07:22:00Z</dcterms:created>
  <dcterms:modified xsi:type="dcterms:W3CDTF">2017-05-09T07:23:00Z</dcterms:modified>
</cp:coreProperties>
</file>