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959" w:rsidRPr="001808EE" w:rsidRDefault="008F782E" w:rsidP="008F782E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1808EE">
        <w:rPr>
          <w:rFonts w:asciiTheme="majorBidi" w:hAnsiTheme="majorBidi" w:cstheme="majorBidi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07FF09AC" wp14:editId="5E22B1FF">
            <wp:simplePos x="0" y="0"/>
            <wp:positionH relativeFrom="margin">
              <wp:posOffset>5346700</wp:posOffset>
            </wp:positionH>
            <wp:positionV relativeFrom="margin">
              <wp:posOffset>215900</wp:posOffset>
            </wp:positionV>
            <wp:extent cx="1115695" cy="1381125"/>
            <wp:effectExtent l="0" t="0" r="8255" b="9525"/>
            <wp:wrapSquare wrapText="bothSides"/>
            <wp:docPr id="24" name="Picture 24" descr="Image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695" cy="1381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76959" w:rsidRPr="001808EE">
        <w:rPr>
          <w:rFonts w:asciiTheme="majorBidi" w:hAnsiTheme="majorBidi" w:cstheme="majorBidi"/>
          <w:b/>
          <w:bCs/>
          <w:sz w:val="32"/>
          <w:szCs w:val="32"/>
        </w:rPr>
        <w:t>The Role of Circulating MicroRNAs as Markers of Disease Progression in Hepatitis C Virus Infected Egyptian Patients</w:t>
      </w:r>
    </w:p>
    <w:p w:rsidR="00276959" w:rsidRPr="008F782E" w:rsidRDefault="00276959" w:rsidP="00276959">
      <w:pPr>
        <w:jc w:val="center"/>
        <w:rPr>
          <w:rFonts w:asciiTheme="majorBidi" w:hAnsiTheme="majorBidi" w:cstheme="majorBidi"/>
          <w:sz w:val="24"/>
          <w:szCs w:val="24"/>
        </w:rPr>
      </w:pPr>
      <w:proofErr w:type="spellStart"/>
      <w:r w:rsidRPr="008F782E">
        <w:rPr>
          <w:rFonts w:asciiTheme="majorBidi" w:hAnsiTheme="majorBidi" w:cstheme="majorBidi"/>
          <w:sz w:val="24"/>
          <w:szCs w:val="24"/>
        </w:rPr>
        <w:t>Reem</w:t>
      </w:r>
      <w:proofErr w:type="spellEnd"/>
      <w:r w:rsidRPr="008F782E">
        <w:rPr>
          <w:rFonts w:asciiTheme="majorBidi" w:hAnsiTheme="majorBidi" w:cstheme="majorBidi"/>
          <w:sz w:val="24"/>
          <w:szCs w:val="24"/>
        </w:rPr>
        <w:t xml:space="preserve"> Abdel Hamid Harfoush</w:t>
      </w:r>
      <w:r w:rsidRPr="008F782E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8F782E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8F782E">
        <w:rPr>
          <w:rFonts w:asciiTheme="majorBidi" w:hAnsiTheme="majorBidi" w:cstheme="majorBidi"/>
          <w:sz w:val="24"/>
          <w:szCs w:val="24"/>
        </w:rPr>
        <w:t>Marwa</w:t>
      </w:r>
      <w:proofErr w:type="spellEnd"/>
      <w:r w:rsidRPr="008F782E">
        <w:rPr>
          <w:rFonts w:asciiTheme="majorBidi" w:hAnsiTheme="majorBidi" w:cstheme="majorBidi"/>
          <w:sz w:val="24"/>
          <w:szCs w:val="24"/>
        </w:rPr>
        <w:t xml:space="preserve"> Ahmed Meheissen</w:t>
      </w:r>
      <w:r w:rsidRPr="008F782E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8F782E">
        <w:rPr>
          <w:rFonts w:asciiTheme="majorBidi" w:hAnsiTheme="majorBidi" w:cstheme="majorBidi"/>
          <w:sz w:val="24"/>
          <w:szCs w:val="24"/>
        </w:rPr>
        <w:t>*</w:t>
      </w:r>
      <w:proofErr w:type="gramStart"/>
      <w:r w:rsidRPr="008F782E">
        <w:rPr>
          <w:rFonts w:asciiTheme="majorBidi" w:hAnsiTheme="majorBidi" w:cstheme="majorBidi"/>
          <w:sz w:val="24"/>
          <w:szCs w:val="24"/>
        </w:rPr>
        <w:t xml:space="preserve">,  </w:t>
      </w:r>
      <w:proofErr w:type="spellStart"/>
      <w:r w:rsidRPr="008F782E">
        <w:rPr>
          <w:rFonts w:asciiTheme="majorBidi" w:hAnsiTheme="majorBidi" w:cstheme="majorBidi"/>
          <w:sz w:val="24"/>
          <w:szCs w:val="24"/>
        </w:rPr>
        <w:t>Reham</w:t>
      </w:r>
      <w:proofErr w:type="spellEnd"/>
      <w:proofErr w:type="gramEnd"/>
      <w:r w:rsidRPr="008F782E">
        <w:rPr>
          <w:rFonts w:asciiTheme="majorBidi" w:hAnsiTheme="majorBidi" w:cstheme="majorBidi"/>
          <w:sz w:val="24"/>
          <w:szCs w:val="24"/>
        </w:rPr>
        <w:t xml:space="preserve"> Abel </w:t>
      </w:r>
      <w:proofErr w:type="spellStart"/>
      <w:r w:rsidRPr="008F782E">
        <w:rPr>
          <w:rFonts w:asciiTheme="majorBidi" w:hAnsiTheme="majorBidi" w:cstheme="majorBidi"/>
          <w:sz w:val="24"/>
          <w:szCs w:val="24"/>
        </w:rPr>
        <w:t>Haleem</w:t>
      </w:r>
      <w:proofErr w:type="spellEnd"/>
      <w:r w:rsidRPr="008F782E">
        <w:rPr>
          <w:rFonts w:asciiTheme="majorBidi" w:hAnsiTheme="majorBidi" w:cstheme="majorBidi"/>
          <w:sz w:val="24"/>
          <w:szCs w:val="24"/>
        </w:rPr>
        <w:t xml:space="preserve"> Abo Elwafa</w:t>
      </w:r>
      <w:r w:rsidRPr="008F782E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Pr="008F782E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8F782E">
        <w:rPr>
          <w:rFonts w:asciiTheme="majorBidi" w:hAnsiTheme="majorBidi" w:cstheme="majorBidi"/>
          <w:sz w:val="24"/>
          <w:szCs w:val="24"/>
        </w:rPr>
        <w:t>Doaa</w:t>
      </w:r>
      <w:proofErr w:type="spellEnd"/>
      <w:r w:rsidRPr="008F782E">
        <w:rPr>
          <w:rFonts w:asciiTheme="majorBidi" w:hAnsiTheme="majorBidi" w:cstheme="majorBidi"/>
          <w:sz w:val="24"/>
          <w:szCs w:val="24"/>
        </w:rPr>
        <w:t xml:space="preserve"> Ahmed Elwazzan</w:t>
      </w:r>
      <w:r w:rsidRPr="008F782E">
        <w:rPr>
          <w:rFonts w:asciiTheme="majorBidi" w:hAnsiTheme="majorBidi" w:cstheme="majorBidi"/>
          <w:sz w:val="24"/>
          <w:szCs w:val="24"/>
          <w:vertAlign w:val="superscript"/>
        </w:rPr>
        <w:t xml:space="preserve">3 </w:t>
      </w:r>
      <w:r w:rsidRPr="008F782E">
        <w:rPr>
          <w:rFonts w:asciiTheme="majorBidi" w:hAnsiTheme="majorBidi" w:cstheme="majorBidi"/>
          <w:sz w:val="24"/>
          <w:szCs w:val="24"/>
        </w:rPr>
        <w:t>.</w:t>
      </w:r>
      <w:bookmarkStart w:id="0" w:name="_GoBack"/>
      <w:bookmarkEnd w:id="0"/>
    </w:p>
    <w:p w:rsidR="00276959" w:rsidRPr="008F782E" w:rsidRDefault="00276959" w:rsidP="00276959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8F782E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8F782E">
        <w:rPr>
          <w:rFonts w:asciiTheme="majorBidi" w:hAnsiTheme="majorBidi" w:cstheme="majorBidi"/>
          <w:sz w:val="24"/>
          <w:szCs w:val="24"/>
        </w:rPr>
        <w:t>Medical Microbiology and Immunology Department, Faculty of Medicine, University of Alexandria</w:t>
      </w:r>
      <w:proofErr w:type="gramStart"/>
      <w:r w:rsidRPr="008F782E">
        <w:rPr>
          <w:rFonts w:asciiTheme="majorBidi" w:hAnsiTheme="majorBidi" w:cstheme="majorBidi"/>
          <w:sz w:val="24"/>
          <w:szCs w:val="24"/>
        </w:rPr>
        <w:t>,  Alexandria</w:t>
      </w:r>
      <w:proofErr w:type="gramEnd"/>
      <w:r w:rsidRPr="008F782E">
        <w:rPr>
          <w:rFonts w:asciiTheme="majorBidi" w:hAnsiTheme="majorBidi" w:cstheme="majorBidi"/>
          <w:sz w:val="24"/>
          <w:szCs w:val="24"/>
        </w:rPr>
        <w:t xml:space="preserve">, Egypt. </w:t>
      </w:r>
    </w:p>
    <w:p w:rsidR="00276959" w:rsidRPr="008F782E" w:rsidRDefault="00276959" w:rsidP="00276959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proofErr w:type="gramStart"/>
      <w:r w:rsidRPr="008F782E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Pr="008F782E">
        <w:rPr>
          <w:rFonts w:asciiTheme="majorBidi" w:hAnsiTheme="majorBidi" w:cstheme="majorBidi"/>
          <w:sz w:val="24"/>
          <w:szCs w:val="24"/>
        </w:rPr>
        <w:t>Clinical and Chemical Pathology Department, Faculty of Medicine, University of Alexandria, Alexandria, Egypt.</w:t>
      </w:r>
      <w:proofErr w:type="gramEnd"/>
    </w:p>
    <w:p w:rsidR="00276959" w:rsidRPr="008F782E" w:rsidRDefault="00276959" w:rsidP="00755660">
      <w:pPr>
        <w:spacing w:line="240" w:lineRule="auto"/>
        <w:rPr>
          <w:rFonts w:asciiTheme="majorBidi" w:hAnsiTheme="majorBidi" w:cstheme="majorBidi"/>
          <w:sz w:val="24"/>
          <w:szCs w:val="24"/>
        </w:rPr>
      </w:pPr>
      <w:r w:rsidRPr="008F782E">
        <w:rPr>
          <w:rFonts w:asciiTheme="majorBidi" w:hAnsiTheme="majorBidi" w:cstheme="majorBidi"/>
          <w:sz w:val="24"/>
          <w:szCs w:val="24"/>
          <w:vertAlign w:val="superscript"/>
        </w:rPr>
        <w:t xml:space="preserve"> </w:t>
      </w:r>
      <w:proofErr w:type="gramStart"/>
      <w:r w:rsidRPr="008F782E">
        <w:rPr>
          <w:rFonts w:asciiTheme="majorBidi" w:hAnsiTheme="majorBidi" w:cstheme="majorBidi"/>
          <w:sz w:val="24"/>
          <w:szCs w:val="24"/>
          <w:vertAlign w:val="superscript"/>
        </w:rPr>
        <w:t>3</w:t>
      </w:r>
      <w:r w:rsidRPr="008F782E">
        <w:rPr>
          <w:rFonts w:asciiTheme="majorBidi" w:hAnsiTheme="majorBidi" w:cstheme="majorBidi"/>
          <w:sz w:val="24"/>
          <w:szCs w:val="24"/>
        </w:rPr>
        <w:t>Tropical Medicine Department, Faculty of Medicine, University of Alexandria, Alexandria, Egypt.</w:t>
      </w:r>
      <w:proofErr w:type="gramEnd"/>
    </w:p>
    <w:p w:rsidR="005A43D1" w:rsidRPr="008F782E" w:rsidRDefault="00276959" w:rsidP="00A417D6">
      <w:pPr>
        <w:jc w:val="both"/>
        <w:rPr>
          <w:rFonts w:asciiTheme="majorBidi" w:hAnsiTheme="majorBidi" w:cstheme="majorBidi"/>
          <w:sz w:val="24"/>
          <w:szCs w:val="24"/>
        </w:rPr>
      </w:pPr>
      <w:r w:rsidRPr="008F782E">
        <w:rPr>
          <w:rFonts w:asciiTheme="majorBidi" w:hAnsiTheme="majorBidi" w:cstheme="majorBidi"/>
          <w:sz w:val="24"/>
          <w:szCs w:val="24"/>
        </w:rPr>
        <w:t xml:space="preserve">Background: The discovery of </w:t>
      </w:r>
      <w:proofErr w:type="spellStart"/>
      <w:r w:rsidRPr="008F782E">
        <w:rPr>
          <w:rFonts w:asciiTheme="majorBidi" w:hAnsiTheme="majorBidi" w:cstheme="majorBidi"/>
          <w:sz w:val="24"/>
          <w:szCs w:val="24"/>
        </w:rPr>
        <w:t>miRNAs</w:t>
      </w:r>
      <w:proofErr w:type="spellEnd"/>
      <w:r w:rsidRPr="008F782E">
        <w:rPr>
          <w:rFonts w:asciiTheme="majorBidi" w:hAnsiTheme="majorBidi" w:cstheme="majorBidi"/>
          <w:sz w:val="24"/>
          <w:szCs w:val="24"/>
        </w:rPr>
        <w:t xml:space="preserve"> circulating in the peripheral blood has opened new directions of research to identify new non-invasive markers for diagnosis of diseases. Aim: The aim of the study was to evaluate the expression levels of circulating plasma </w:t>
      </w:r>
      <w:proofErr w:type="spellStart"/>
      <w:r w:rsidRPr="008F782E">
        <w:rPr>
          <w:rFonts w:asciiTheme="majorBidi" w:hAnsiTheme="majorBidi" w:cstheme="majorBidi"/>
          <w:sz w:val="24"/>
          <w:szCs w:val="24"/>
        </w:rPr>
        <w:t>miRNAs</w:t>
      </w:r>
      <w:proofErr w:type="spellEnd"/>
      <w:r w:rsidRPr="008F782E">
        <w:rPr>
          <w:rFonts w:asciiTheme="majorBidi" w:hAnsiTheme="majorBidi" w:cstheme="majorBidi"/>
          <w:sz w:val="24"/>
          <w:szCs w:val="24"/>
        </w:rPr>
        <w:t xml:space="preserve"> (miRNA-21 &amp; miRNA-122) in Egyptian patients with chronic uncomplicated and complicated HCV. Patients &amp; Methods: This study was conducted on 60 Chronic HCV infected patients. Patients were divided into three groups (20 patients each): uncomplicated HCV, cirrhosis, and hepatocellular carcinoma (HCC). All patients were subjected to laboratory investigations including complete blood picture, liver function tests. Expression levels of miRNA-21 and -122 in plasma using RT-PCR were determined. Results: MiRNA-21showed significant fold increase in chronic uncomplicated HCV while significant fold decrease in cirrhotic and HCC groups (P = 0.036). On the other hand, miRNA-122 showed significant fold elevation in both chronic uncomplicated and cirrhotic groups and significant fold decrease in HCC group (P = 0.005). ROC curve analysis for miRNA-122 yielded 68.4% sensitivity and 100% specificity for the differentiation of HCC patients from non-HCC at a cutoff 0.184. Neither miRNA-21 nor miRNA-122 was a successful predictor for HCC diagnosis. Conclusion: MiRNA-122 can be used as novel non-invasive biomarker for monitoring HCV related disease progression</w:t>
      </w:r>
      <w:r w:rsidR="005A43D1" w:rsidRPr="008F782E">
        <w:rPr>
          <w:rFonts w:asciiTheme="majorBidi" w:hAnsiTheme="majorBidi" w:cstheme="majorBidi"/>
          <w:sz w:val="24"/>
          <w:szCs w:val="24"/>
        </w:rPr>
        <w:t>.</w:t>
      </w:r>
    </w:p>
    <w:p w:rsidR="00C9351D" w:rsidRPr="008F782E" w:rsidRDefault="00C9351D" w:rsidP="00743CD8">
      <w:pPr>
        <w:rPr>
          <w:rFonts w:asciiTheme="majorBidi" w:hAnsiTheme="majorBidi" w:cstheme="majorBidi"/>
          <w:b/>
          <w:bCs/>
          <w:sz w:val="24"/>
          <w:szCs w:val="24"/>
        </w:rPr>
      </w:pPr>
    </w:p>
    <w:p w:rsidR="00755660" w:rsidRPr="008F782E" w:rsidRDefault="00743CD8" w:rsidP="00743CD8">
      <w:pPr>
        <w:rPr>
          <w:rFonts w:asciiTheme="majorBidi" w:hAnsiTheme="majorBidi" w:cstheme="majorBidi"/>
          <w:b/>
          <w:bCs/>
          <w:sz w:val="24"/>
          <w:szCs w:val="24"/>
        </w:rPr>
      </w:pPr>
      <w:r w:rsidRPr="008F782E">
        <w:rPr>
          <w:rFonts w:asciiTheme="majorBidi" w:hAnsiTheme="majorBidi" w:cstheme="majorBidi"/>
          <w:b/>
          <w:bCs/>
          <w:sz w:val="24"/>
          <w:szCs w:val="24"/>
        </w:rPr>
        <w:t>BIOGRAPHY:</w:t>
      </w:r>
    </w:p>
    <w:p w:rsidR="001C2361" w:rsidRPr="008F782E" w:rsidRDefault="009D350D" w:rsidP="002E4AA4">
      <w:pPr>
        <w:pStyle w:val="BodyText"/>
        <w:spacing w:after="220" w:line="276" w:lineRule="auto"/>
        <w:jc w:val="both"/>
        <w:rPr>
          <w:rFonts w:asciiTheme="majorBidi" w:hAnsiTheme="majorBidi" w:cstheme="majorBidi"/>
          <w:szCs w:val="24"/>
        </w:rPr>
      </w:pPr>
      <w:r w:rsidRPr="008F782E">
        <w:rPr>
          <w:rFonts w:asciiTheme="majorBidi" w:hAnsiTheme="majorBidi" w:cstheme="majorBidi"/>
          <w:szCs w:val="24"/>
        </w:rPr>
        <w:t xml:space="preserve">Doctor </w:t>
      </w:r>
      <w:proofErr w:type="spellStart"/>
      <w:r w:rsidRPr="008F782E">
        <w:rPr>
          <w:rFonts w:asciiTheme="majorBidi" w:hAnsiTheme="majorBidi" w:cstheme="majorBidi"/>
          <w:szCs w:val="24"/>
        </w:rPr>
        <w:t>Reham</w:t>
      </w:r>
      <w:proofErr w:type="spellEnd"/>
      <w:r w:rsidRPr="008F782E">
        <w:rPr>
          <w:rFonts w:asciiTheme="majorBidi" w:hAnsiTheme="majorBidi" w:cstheme="majorBidi"/>
          <w:szCs w:val="24"/>
        </w:rPr>
        <w:t xml:space="preserve"> Abdel </w:t>
      </w:r>
      <w:proofErr w:type="spellStart"/>
      <w:r w:rsidRPr="008F782E">
        <w:rPr>
          <w:rFonts w:asciiTheme="majorBidi" w:hAnsiTheme="majorBidi" w:cstheme="majorBidi"/>
          <w:szCs w:val="24"/>
        </w:rPr>
        <w:t>Haleem</w:t>
      </w:r>
      <w:proofErr w:type="spellEnd"/>
      <w:r w:rsidRPr="008F782E">
        <w:rPr>
          <w:rFonts w:asciiTheme="majorBidi" w:hAnsiTheme="majorBidi" w:cstheme="majorBidi"/>
          <w:szCs w:val="24"/>
        </w:rPr>
        <w:t xml:space="preserve"> </w:t>
      </w:r>
      <w:proofErr w:type="spellStart"/>
      <w:r w:rsidRPr="008F782E">
        <w:rPr>
          <w:rFonts w:asciiTheme="majorBidi" w:hAnsiTheme="majorBidi" w:cstheme="majorBidi"/>
          <w:szCs w:val="24"/>
        </w:rPr>
        <w:t>Aboelwafa</w:t>
      </w:r>
      <w:proofErr w:type="spellEnd"/>
      <w:r w:rsidRPr="008F782E">
        <w:rPr>
          <w:rFonts w:asciiTheme="majorBidi" w:hAnsiTheme="majorBidi" w:cstheme="majorBidi"/>
          <w:szCs w:val="24"/>
        </w:rPr>
        <w:t xml:space="preserve">, MD, </w:t>
      </w:r>
      <w:r w:rsidR="00755660" w:rsidRPr="008F782E">
        <w:rPr>
          <w:rFonts w:asciiTheme="majorBidi" w:hAnsiTheme="majorBidi" w:cstheme="majorBidi"/>
          <w:szCs w:val="24"/>
        </w:rPr>
        <w:t xml:space="preserve">a </w:t>
      </w:r>
      <w:r w:rsidRPr="008F782E">
        <w:rPr>
          <w:rFonts w:asciiTheme="majorBidi" w:hAnsiTheme="majorBidi" w:cstheme="majorBidi"/>
          <w:szCs w:val="24"/>
        </w:rPr>
        <w:t>Lecturer of Clinica</w:t>
      </w:r>
      <w:r w:rsidR="00755660" w:rsidRPr="008F782E">
        <w:rPr>
          <w:rFonts w:asciiTheme="majorBidi" w:hAnsiTheme="majorBidi" w:cstheme="majorBidi"/>
          <w:szCs w:val="24"/>
        </w:rPr>
        <w:t xml:space="preserve">l Pathology, </w:t>
      </w:r>
      <w:r w:rsidRPr="008F782E">
        <w:rPr>
          <w:rFonts w:asciiTheme="majorBidi" w:hAnsiTheme="majorBidi" w:cstheme="majorBidi"/>
          <w:szCs w:val="24"/>
        </w:rPr>
        <w:t xml:space="preserve">Faculty of Medicine, Alexandria University, Egypt. </w:t>
      </w:r>
      <w:r w:rsidR="001C2361" w:rsidRPr="008F782E">
        <w:rPr>
          <w:rFonts w:asciiTheme="majorBidi" w:hAnsiTheme="majorBidi" w:cstheme="majorBidi"/>
          <w:szCs w:val="24"/>
        </w:rPr>
        <w:t xml:space="preserve">She has expertise in research, teaching and administration both in hospital and education institution. </w:t>
      </w:r>
      <w:r w:rsidR="00755660" w:rsidRPr="008F782E">
        <w:rPr>
          <w:rFonts w:asciiTheme="majorBidi" w:hAnsiTheme="majorBidi" w:cstheme="majorBidi"/>
          <w:szCs w:val="24"/>
        </w:rPr>
        <w:t>She</w:t>
      </w:r>
      <w:r w:rsidR="001C2361" w:rsidRPr="008F782E">
        <w:rPr>
          <w:rFonts w:asciiTheme="majorBidi" w:hAnsiTheme="majorBidi" w:cstheme="majorBidi"/>
          <w:szCs w:val="24"/>
        </w:rPr>
        <w:t xml:space="preserve"> is expert in Molecular Techniques: PCR (convention</w:t>
      </w:r>
      <w:r w:rsidR="00755660" w:rsidRPr="008F782E">
        <w:rPr>
          <w:rFonts w:asciiTheme="majorBidi" w:hAnsiTheme="majorBidi" w:cstheme="majorBidi"/>
          <w:szCs w:val="24"/>
        </w:rPr>
        <w:t xml:space="preserve">al, and </w:t>
      </w:r>
      <w:proofErr w:type="gramStart"/>
      <w:r w:rsidR="00755660" w:rsidRPr="008F782E">
        <w:rPr>
          <w:rFonts w:asciiTheme="majorBidi" w:hAnsiTheme="majorBidi" w:cstheme="majorBidi"/>
          <w:szCs w:val="24"/>
        </w:rPr>
        <w:t>Real</w:t>
      </w:r>
      <w:proofErr w:type="gramEnd"/>
      <w:r w:rsidR="00755660" w:rsidRPr="008F782E">
        <w:rPr>
          <w:rFonts w:asciiTheme="majorBidi" w:hAnsiTheme="majorBidi" w:cstheme="majorBidi"/>
          <w:szCs w:val="24"/>
        </w:rPr>
        <w:t xml:space="preserve"> time PCR),</w:t>
      </w:r>
      <w:r w:rsidR="001C2361" w:rsidRPr="008F782E">
        <w:rPr>
          <w:rFonts w:asciiTheme="majorBidi" w:hAnsiTheme="majorBidi" w:cstheme="majorBidi"/>
          <w:szCs w:val="24"/>
        </w:rPr>
        <w:t xml:space="preserve"> microarray, </w:t>
      </w:r>
      <w:proofErr w:type="spellStart"/>
      <w:r w:rsidR="001C2361" w:rsidRPr="008F782E">
        <w:rPr>
          <w:rStyle w:val="Emphasis"/>
          <w:rFonts w:asciiTheme="majorBidi" w:hAnsiTheme="majorBidi" w:cstheme="majorBidi"/>
          <w:i w:val="0"/>
          <w:iCs w:val="0"/>
          <w:szCs w:val="24"/>
        </w:rPr>
        <w:t>Pyrosequencing</w:t>
      </w:r>
      <w:proofErr w:type="spellEnd"/>
      <w:r w:rsidR="001C2361" w:rsidRPr="008F782E">
        <w:rPr>
          <w:rStyle w:val="Emphasis"/>
          <w:rFonts w:asciiTheme="majorBidi" w:hAnsiTheme="majorBidi" w:cstheme="majorBidi"/>
          <w:szCs w:val="24"/>
        </w:rPr>
        <w:t xml:space="preserve"> </w:t>
      </w:r>
      <w:r w:rsidR="001C2361" w:rsidRPr="008F782E">
        <w:rPr>
          <w:rStyle w:val="Emphasis"/>
          <w:rFonts w:asciiTheme="majorBidi" w:hAnsiTheme="majorBidi" w:cstheme="majorBidi"/>
          <w:i w:val="0"/>
          <w:iCs w:val="0"/>
          <w:szCs w:val="24"/>
        </w:rPr>
        <w:t>and</w:t>
      </w:r>
      <w:r w:rsidR="001C2361" w:rsidRPr="008F782E">
        <w:rPr>
          <w:rStyle w:val="Emphasis"/>
          <w:rFonts w:asciiTheme="majorBidi" w:hAnsiTheme="majorBidi" w:cstheme="majorBidi"/>
          <w:szCs w:val="24"/>
        </w:rPr>
        <w:t xml:space="preserve"> NGS</w:t>
      </w:r>
      <w:r w:rsidR="00755660" w:rsidRPr="008F782E">
        <w:rPr>
          <w:rFonts w:asciiTheme="majorBidi" w:hAnsiTheme="majorBidi" w:cstheme="majorBidi"/>
          <w:szCs w:val="24"/>
        </w:rPr>
        <w:t xml:space="preserve"> in addition to</w:t>
      </w:r>
      <w:r w:rsidR="001C2361" w:rsidRPr="008F782E">
        <w:rPr>
          <w:rFonts w:asciiTheme="majorBidi" w:hAnsiTheme="majorBidi" w:cstheme="majorBidi"/>
          <w:szCs w:val="24"/>
        </w:rPr>
        <w:t xml:space="preserve"> FISH techniques including P</w:t>
      </w:r>
      <w:r w:rsidR="00755660" w:rsidRPr="008F782E">
        <w:rPr>
          <w:rFonts w:asciiTheme="majorBidi" w:hAnsiTheme="majorBidi" w:cstheme="majorBidi"/>
          <w:szCs w:val="24"/>
        </w:rPr>
        <w:t xml:space="preserve">renatal Genetic Diagnosis (PGD) and </w:t>
      </w:r>
      <w:r w:rsidR="001C2361" w:rsidRPr="008F782E">
        <w:rPr>
          <w:rFonts w:asciiTheme="majorBidi" w:hAnsiTheme="majorBidi" w:cstheme="majorBidi"/>
          <w:szCs w:val="24"/>
        </w:rPr>
        <w:t xml:space="preserve">Flow </w:t>
      </w:r>
      <w:proofErr w:type="spellStart"/>
      <w:r w:rsidR="001C2361" w:rsidRPr="008F782E">
        <w:rPr>
          <w:rFonts w:asciiTheme="majorBidi" w:hAnsiTheme="majorBidi" w:cstheme="majorBidi"/>
          <w:szCs w:val="24"/>
        </w:rPr>
        <w:t>cytometric</w:t>
      </w:r>
      <w:proofErr w:type="spellEnd"/>
      <w:r w:rsidR="001C2361" w:rsidRPr="008F782E">
        <w:rPr>
          <w:rFonts w:asciiTheme="majorBidi" w:hAnsiTheme="majorBidi" w:cstheme="majorBidi"/>
          <w:szCs w:val="24"/>
        </w:rPr>
        <w:t xml:space="preserve"> </w:t>
      </w:r>
      <w:proofErr w:type="spellStart"/>
      <w:r w:rsidR="00755660" w:rsidRPr="008F782E">
        <w:rPr>
          <w:rFonts w:asciiTheme="majorBidi" w:hAnsiTheme="majorBidi" w:cstheme="majorBidi"/>
          <w:szCs w:val="24"/>
        </w:rPr>
        <w:t>mmunophenotyping</w:t>
      </w:r>
      <w:proofErr w:type="spellEnd"/>
      <w:r w:rsidR="00755660" w:rsidRPr="008F782E">
        <w:rPr>
          <w:rFonts w:asciiTheme="majorBidi" w:hAnsiTheme="majorBidi" w:cstheme="majorBidi"/>
          <w:szCs w:val="24"/>
        </w:rPr>
        <w:t xml:space="preserve"> of</w:t>
      </w:r>
      <w:r w:rsidR="001C2361" w:rsidRPr="008F782E">
        <w:rPr>
          <w:rFonts w:asciiTheme="majorBidi" w:hAnsiTheme="majorBidi" w:cstheme="majorBidi"/>
          <w:szCs w:val="24"/>
        </w:rPr>
        <w:t xml:space="preserve"> different types of hematologic malignancies.</w:t>
      </w:r>
      <w:r w:rsidR="00755660" w:rsidRPr="008F782E">
        <w:rPr>
          <w:rFonts w:asciiTheme="majorBidi" w:hAnsiTheme="majorBidi" w:cstheme="majorBidi"/>
          <w:szCs w:val="24"/>
        </w:rPr>
        <w:t xml:space="preserve"> She has several international publications in the field of molecular biology, genetics and epigenetics.</w:t>
      </w:r>
    </w:p>
    <w:p w:rsidR="008F782E" w:rsidRDefault="008F782E" w:rsidP="008F782E">
      <w:pPr>
        <w:autoSpaceDE w:val="0"/>
        <w:autoSpaceDN w:val="0"/>
        <w:adjustRightInd w:val="0"/>
        <w:rPr>
          <w:rFonts w:asciiTheme="majorBidi" w:hAnsiTheme="majorBidi" w:cstheme="majorBidi"/>
          <w:b/>
          <w:sz w:val="24"/>
          <w:szCs w:val="24"/>
          <w:lang w:val="en-NZ"/>
        </w:rPr>
      </w:pPr>
      <w:r w:rsidRPr="00356F59">
        <w:rPr>
          <w:rFonts w:asciiTheme="majorBidi" w:hAnsiTheme="majorBidi" w:cstheme="majorBidi"/>
          <w:b/>
          <w:sz w:val="24"/>
          <w:szCs w:val="24"/>
          <w:lang w:val="en-NZ"/>
        </w:rPr>
        <w:lastRenderedPageBreak/>
        <w:t xml:space="preserve">Presenting author details </w:t>
      </w:r>
    </w:p>
    <w:p w:rsidR="008F782E" w:rsidRDefault="008F782E" w:rsidP="008F782E">
      <w:pPr>
        <w:autoSpaceDE w:val="0"/>
        <w:autoSpaceDN w:val="0"/>
        <w:adjustRightInd w:val="0"/>
        <w:rPr>
          <w:rFonts w:asciiTheme="majorBidi" w:hAnsiTheme="majorBidi" w:cstheme="majorBidi"/>
          <w:b/>
          <w:sz w:val="24"/>
          <w:szCs w:val="24"/>
          <w:lang w:val="en-NZ"/>
        </w:rPr>
      </w:pPr>
      <w:r w:rsidRPr="00356F59">
        <w:rPr>
          <w:rFonts w:asciiTheme="majorBidi" w:hAnsiTheme="majorBidi" w:cstheme="majorBidi"/>
          <w:b/>
          <w:sz w:val="24"/>
          <w:szCs w:val="24"/>
          <w:lang w:val="en-NZ"/>
        </w:rPr>
        <w:br/>
      </w:r>
      <w:r w:rsidRPr="00356F59">
        <w:rPr>
          <w:rFonts w:asciiTheme="majorBidi" w:hAnsiTheme="majorBidi" w:cstheme="majorBidi"/>
          <w:sz w:val="24"/>
          <w:szCs w:val="24"/>
          <w:lang w:val="en-NZ"/>
        </w:rPr>
        <w:t xml:space="preserve">Full name: </w:t>
      </w:r>
      <w:proofErr w:type="spellStart"/>
      <w:r w:rsidRPr="00356F59">
        <w:rPr>
          <w:rFonts w:asciiTheme="majorBidi" w:hAnsiTheme="majorBidi" w:cstheme="majorBidi"/>
          <w:sz w:val="24"/>
          <w:szCs w:val="24"/>
        </w:rPr>
        <w:t>Reham</w:t>
      </w:r>
      <w:proofErr w:type="spellEnd"/>
      <w:r w:rsidRPr="00356F59">
        <w:rPr>
          <w:rFonts w:asciiTheme="majorBidi" w:hAnsiTheme="majorBidi" w:cstheme="majorBidi"/>
          <w:sz w:val="24"/>
          <w:szCs w:val="24"/>
        </w:rPr>
        <w:t xml:space="preserve"> Abdel </w:t>
      </w:r>
      <w:proofErr w:type="spellStart"/>
      <w:r w:rsidRPr="00356F59">
        <w:rPr>
          <w:rFonts w:asciiTheme="majorBidi" w:hAnsiTheme="majorBidi" w:cstheme="majorBidi"/>
          <w:sz w:val="24"/>
          <w:szCs w:val="24"/>
        </w:rPr>
        <w:t>Haleem</w:t>
      </w:r>
      <w:proofErr w:type="spellEnd"/>
      <w:r w:rsidRPr="00356F5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56F59">
        <w:rPr>
          <w:rFonts w:asciiTheme="majorBidi" w:hAnsiTheme="majorBidi" w:cstheme="majorBidi"/>
          <w:sz w:val="24"/>
          <w:szCs w:val="24"/>
        </w:rPr>
        <w:t>Aboelwafa</w:t>
      </w:r>
      <w:proofErr w:type="spellEnd"/>
      <w:r w:rsidRPr="00356F59">
        <w:rPr>
          <w:rFonts w:asciiTheme="majorBidi" w:hAnsiTheme="majorBidi" w:cstheme="majorBidi"/>
          <w:sz w:val="24"/>
          <w:szCs w:val="24"/>
          <w:lang w:val="en-NZ"/>
        </w:rPr>
        <w:br/>
        <w:t>Contact number</w:t>
      </w:r>
      <w:proofErr w:type="gramStart"/>
      <w:r w:rsidRPr="00356F59">
        <w:rPr>
          <w:rFonts w:asciiTheme="majorBidi" w:hAnsiTheme="majorBidi" w:cstheme="majorBidi"/>
          <w:sz w:val="24"/>
          <w:szCs w:val="24"/>
          <w:lang w:val="en-NZ"/>
        </w:rPr>
        <w:t>:00201002413832</w:t>
      </w:r>
      <w:proofErr w:type="gramEnd"/>
      <w:r w:rsidRPr="00356F59">
        <w:rPr>
          <w:rFonts w:asciiTheme="majorBidi" w:hAnsiTheme="majorBidi" w:cstheme="majorBidi"/>
          <w:sz w:val="24"/>
          <w:szCs w:val="24"/>
          <w:lang w:val="en-NZ"/>
        </w:rPr>
        <w:br/>
        <w:t xml:space="preserve">Twitter account: </w:t>
      </w:r>
      <w:proofErr w:type="spellStart"/>
      <w:r w:rsidRPr="00356F59">
        <w:rPr>
          <w:rFonts w:asciiTheme="majorBidi" w:hAnsiTheme="majorBidi" w:cstheme="majorBidi"/>
          <w:sz w:val="24"/>
          <w:szCs w:val="24"/>
          <w:lang w:val="en-NZ"/>
        </w:rPr>
        <w:t>reham</w:t>
      </w:r>
      <w:proofErr w:type="spellEnd"/>
      <w:r w:rsidRPr="00356F59">
        <w:rPr>
          <w:rFonts w:asciiTheme="majorBidi" w:hAnsiTheme="majorBidi" w:cstheme="majorBidi"/>
          <w:sz w:val="24"/>
          <w:szCs w:val="24"/>
          <w:lang w:val="en-NZ"/>
        </w:rPr>
        <w:t xml:space="preserve"> </w:t>
      </w:r>
      <w:proofErr w:type="spellStart"/>
      <w:r w:rsidRPr="00356F59">
        <w:rPr>
          <w:rFonts w:asciiTheme="majorBidi" w:hAnsiTheme="majorBidi" w:cstheme="majorBidi"/>
          <w:sz w:val="24"/>
          <w:szCs w:val="24"/>
          <w:lang w:val="en-NZ"/>
        </w:rPr>
        <w:t>halem</w:t>
      </w:r>
      <w:proofErr w:type="spellEnd"/>
      <w:r w:rsidRPr="00356F59">
        <w:rPr>
          <w:rFonts w:asciiTheme="majorBidi" w:hAnsiTheme="majorBidi" w:cstheme="majorBidi"/>
          <w:sz w:val="24"/>
          <w:szCs w:val="24"/>
          <w:lang w:val="en-NZ"/>
        </w:rPr>
        <w:br/>
        <w:t xml:space="preserve">Linked In account: </w:t>
      </w:r>
      <w:proofErr w:type="spellStart"/>
      <w:r w:rsidRPr="00356F59">
        <w:rPr>
          <w:rFonts w:asciiTheme="majorBidi" w:hAnsiTheme="majorBidi" w:cstheme="majorBidi"/>
          <w:sz w:val="24"/>
          <w:szCs w:val="24"/>
          <w:lang w:val="en-NZ"/>
        </w:rPr>
        <w:t>Reham</w:t>
      </w:r>
      <w:proofErr w:type="spellEnd"/>
      <w:r w:rsidRPr="00356F59">
        <w:rPr>
          <w:rFonts w:asciiTheme="majorBidi" w:hAnsiTheme="majorBidi" w:cstheme="majorBidi"/>
          <w:sz w:val="24"/>
          <w:szCs w:val="24"/>
          <w:lang w:val="en-NZ"/>
        </w:rPr>
        <w:t xml:space="preserve"> </w:t>
      </w:r>
      <w:proofErr w:type="spellStart"/>
      <w:r w:rsidRPr="00356F59">
        <w:rPr>
          <w:rFonts w:asciiTheme="majorBidi" w:hAnsiTheme="majorBidi" w:cstheme="majorBidi"/>
          <w:sz w:val="24"/>
          <w:szCs w:val="24"/>
          <w:lang w:val="en-NZ"/>
        </w:rPr>
        <w:t>Aboelwafa</w:t>
      </w:r>
      <w:proofErr w:type="spellEnd"/>
    </w:p>
    <w:p w:rsidR="008F782E" w:rsidRDefault="008F782E" w:rsidP="008F782E">
      <w:pPr>
        <w:pStyle w:val="ListParagraph"/>
        <w:spacing w:line="240" w:lineRule="auto"/>
        <w:ind w:left="0"/>
        <w:rPr>
          <w:rFonts w:asciiTheme="majorBidi" w:hAnsiTheme="majorBidi" w:cstheme="majorBidi"/>
          <w:sz w:val="24"/>
          <w:szCs w:val="24"/>
          <w:lang w:val="en-NZ"/>
        </w:rPr>
      </w:pPr>
      <w:r w:rsidRPr="00356F59">
        <w:rPr>
          <w:rFonts w:asciiTheme="majorBidi" w:hAnsiTheme="majorBidi" w:cstheme="majorBidi"/>
          <w:sz w:val="24"/>
          <w:szCs w:val="24"/>
          <w:lang w:val="en-NZ"/>
        </w:rPr>
        <w:t xml:space="preserve">Session name: </w:t>
      </w:r>
      <w:r>
        <w:rPr>
          <w:rFonts w:asciiTheme="majorBidi" w:hAnsiTheme="majorBidi" w:cstheme="majorBidi"/>
          <w:sz w:val="24"/>
          <w:szCs w:val="24"/>
          <w:lang w:val="en-NZ"/>
        </w:rPr>
        <w:t>Molecular diagnostics</w:t>
      </w:r>
    </w:p>
    <w:p w:rsidR="008F782E" w:rsidRPr="000210E6" w:rsidRDefault="008F782E" w:rsidP="008F782E">
      <w:pPr>
        <w:pStyle w:val="ListParagraph"/>
        <w:spacing w:line="240" w:lineRule="auto"/>
        <w:ind w:left="0"/>
        <w:rPr>
          <w:rFonts w:asciiTheme="majorBidi" w:hAnsiTheme="majorBidi" w:cstheme="majorBidi"/>
          <w:color w:val="131413"/>
          <w:sz w:val="28"/>
          <w:szCs w:val="28"/>
          <w:lang w:val="en-NZ"/>
        </w:rPr>
      </w:pPr>
      <w:r w:rsidRPr="00356F59">
        <w:rPr>
          <w:rFonts w:asciiTheme="majorBidi" w:hAnsiTheme="majorBidi" w:cstheme="majorBidi"/>
          <w:sz w:val="24"/>
          <w:szCs w:val="24"/>
          <w:lang w:val="en-NZ"/>
        </w:rPr>
        <w:t>Category: Poster presentation</w:t>
      </w:r>
      <w:r w:rsidRPr="00356F59">
        <w:rPr>
          <w:rFonts w:asciiTheme="majorBidi" w:hAnsiTheme="majorBidi" w:cstheme="majorBidi"/>
          <w:sz w:val="24"/>
          <w:szCs w:val="24"/>
          <w:lang w:val="en-NZ"/>
        </w:rPr>
        <w:br/>
      </w:r>
    </w:p>
    <w:p w:rsidR="005A43D1" w:rsidRPr="008F782E" w:rsidRDefault="005A43D1">
      <w:pPr>
        <w:rPr>
          <w:rFonts w:asciiTheme="majorBidi" w:hAnsiTheme="majorBidi" w:cstheme="majorBidi"/>
          <w:sz w:val="24"/>
          <w:szCs w:val="24"/>
          <w:lang w:val="en-NZ"/>
        </w:rPr>
      </w:pPr>
    </w:p>
    <w:sectPr w:rsidR="005A43D1" w:rsidRPr="008F78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011"/>
    <w:rsid w:val="00124011"/>
    <w:rsid w:val="001808EE"/>
    <w:rsid w:val="001C2361"/>
    <w:rsid w:val="00230D12"/>
    <w:rsid w:val="00276959"/>
    <w:rsid w:val="002E4AA4"/>
    <w:rsid w:val="005A43D1"/>
    <w:rsid w:val="00743CD8"/>
    <w:rsid w:val="00755660"/>
    <w:rsid w:val="008F782E"/>
    <w:rsid w:val="009D350D"/>
    <w:rsid w:val="00A20A91"/>
    <w:rsid w:val="00A417D6"/>
    <w:rsid w:val="00C93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unhideWhenUsed/>
    <w:rsid w:val="001C2361"/>
    <w:pPr>
      <w:spacing w:after="120" w:line="240" w:lineRule="auto"/>
    </w:pPr>
    <w:rPr>
      <w:rFonts w:ascii="Times New Roman" w:eastAsia="Trebuchet MS" w:hAnsi="Times New Roman" w:cs="Trebuchet MS"/>
      <w:sz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C2361"/>
    <w:rPr>
      <w:rFonts w:ascii="Times New Roman" w:eastAsia="Trebuchet MS" w:hAnsi="Times New Roman" w:cs="Trebuchet MS"/>
      <w:sz w:val="24"/>
    </w:rPr>
  </w:style>
  <w:style w:type="character" w:styleId="Emphasis">
    <w:name w:val="Emphasis"/>
    <w:basedOn w:val="DefaultParagraphFont"/>
    <w:uiPriority w:val="20"/>
    <w:qFormat/>
    <w:rsid w:val="001C2361"/>
    <w:rPr>
      <w:i/>
      <w:iCs/>
    </w:rPr>
  </w:style>
  <w:style w:type="character" w:styleId="Hyperlink">
    <w:name w:val="Hyperlink"/>
    <w:basedOn w:val="DefaultParagraphFont"/>
    <w:uiPriority w:val="99"/>
    <w:unhideWhenUsed/>
    <w:rsid w:val="002E4AA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4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4AA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782E"/>
    <w:pPr>
      <w:ind w:left="720"/>
      <w:contextualSpacing/>
    </w:pPr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unhideWhenUsed/>
    <w:rsid w:val="001C2361"/>
    <w:pPr>
      <w:spacing w:after="120" w:line="240" w:lineRule="auto"/>
    </w:pPr>
    <w:rPr>
      <w:rFonts w:ascii="Times New Roman" w:eastAsia="Trebuchet MS" w:hAnsi="Times New Roman" w:cs="Trebuchet MS"/>
      <w:sz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C2361"/>
    <w:rPr>
      <w:rFonts w:ascii="Times New Roman" w:eastAsia="Trebuchet MS" w:hAnsi="Times New Roman" w:cs="Trebuchet MS"/>
      <w:sz w:val="24"/>
    </w:rPr>
  </w:style>
  <w:style w:type="character" w:styleId="Emphasis">
    <w:name w:val="Emphasis"/>
    <w:basedOn w:val="DefaultParagraphFont"/>
    <w:uiPriority w:val="20"/>
    <w:qFormat/>
    <w:rsid w:val="001C2361"/>
    <w:rPr>
      <w:i/>
      <w:iCs/>
    </w:rPr>
  </w:style>
  <w:style w:type="character" w:styleId="Hyperlink">
    <w:name w:val="Hyperlink"/>
    <w:basedOn w:val="DefaultParagraphFont"/>
    <w:uiPriority w:val="99"/>
    <w:unhideWhenUsed/>
    <w:rsid w:val="002E4AA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4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4AA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782E"/>
    <w:pPr>
      <w:ind w:left="720"/>
      <w:contextualSpacing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Ahmed-Under</Company>
  <LinksUpToDate>false</LinksUpToDate>
  <CharactersWithSpaces>2817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4</cp:revision>
  <dcterms:created xsi:type="dcterms:W3CDTF">2016-11-18T20:54:00Z</dcterms:created>
  <dcterms:modified xsi:type="dcterms:W3CDTF">2016-12-01T09:57:00Z</dcterms:modified>
</cp:coreProperties>
</file>