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D74" w:rsidRPr="007042DC" w:rsidRDefault="00E70D74" w:rsidP="00E70D74">
      <w:pPr>
        <w:shd w:val="clear" w:color="auto" w:fill="FFFFFF"/>
        <w:tabs>
          <w:tab w:val="right" w:pos="7496"/>
        </w:tabs>
        <w:spacing w:before="90" w:after="90" w:line="48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2"/>
        </w:rPr>
      </w:pPr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 xml:space="preserve">Evaluation of the role of circulating </w:t>
      </w:r>
      <w:r w:rsidRPr="007042DC">
        <w:rPr>
          <w:rFonts w:ascii="Times New Roman" w:hAnsi="Times New Roman"/>
          <w:b/>
          <w:bCs/>
          <w:sz w:val="22"/>
        </w:rPr>
        <w:t xml:space="preserve">long non-coding RNA </w:t>
      </w:r>
      <w:r w:rsidRPr="007042DC">
        <w:rPr>
          <w:rFonts w:ascii="Times New Roman" w:hAnsi="Times New Roman"/>
          <w:b/>
          <w:bCs/>
          <w:i/>
          <w:iCs/>
          <w:sz w:val="22"/>
        </w:rPr>
        <w:t>H19</w:t>
      </w:r>
      <w:r w:rsidRPr="007042DC">
        <w:rPr>
          <w:rFonts w:ascii="Times New Roman" w:hAnsi="Times New Roman"/>
          <w:b/>
          <w:bCs/>
          <w:color w:val="FF0000"/>
          <w:sz w:val="22"/>
        </w:rPr>
        <w:t xml:space="preserve"> </w:t>
      </w:r>
      <w:r w:rsidRPr="007042DC">
        <w:rPr>
          <w:rFonts w:ascii="Times New Roman" w:hAnsi="Times New Roman"/>
          <w:b/>
          <w:bCs/>
          <w:color w:val="000000"/>
          <w:sz w:val="22"/>
        </w:rPr>
        <w:t xml:space="preserve">as a </w:t>
      </w:r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>promising novel biomarker in plasma of patients with gastric cancer</w:t>
      </w:r>
    </w:p>
    <w:p w:rsidR="00E70D74" w:rsidRPr="007042DC" w:rsidRDefault="00E70D74" w:rsidP="00E70D74">
      <w:pPr>
        <w:shd w:val="clear" w:color="auto" w:fill="FFFFFF"/>
        <w:tabs>
          <w:tab w:val="right" w:pos="7496"/>
        </w:tabs>
        <w:spacing w:before="90" w:after="90" w:line="48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2"/>
        </w:rPr>
      </w:pPr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 xml:space="preserve">Hashad DI </w:t>
      </w:r>
      <w:r w:rsidRPr="007042DC">
        <w:rPr>
          <w:rFonts w:ascii="Times New Roman" w:hAnsi="Times New Roman"/>
          <w:b/>
          <w:bCs/>
          <w:color w:val="000000"/>
          <w:kern w:val="36"/>
          <w:sz w:val="22"/>
          <w:vertAlign w:val="superscript"/>
        </w:rPr>
        <w:t>1</w:t>
      </w:r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 xml:space="preserve">, </w:t>
      </w:r>
      <w:proofErr w:type="spellStart"/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>Elbanna</w:t>
      </w:r>
      <w:proofErr w:type="spellEnd"/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 xml:space="preserve"> AA </w:t>
      </w:r>
      <w:r w:rsidRPr="007042DC">
        <w:rPr>
          <w:rFonts w:ascii="Times New Roman" w:hAnsi="Times New Roman"/>
          <w:b/>
          <w:bCs/>
          <w:color w:val="000000"/>
          <w:kern w:val="36"/>
          <w:sz w:val="22"/>
          <w:vertAlign w:val="superscript"/>
        </w:rPr>
        <w:t>2</w:t>
      </w:r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 xml:space="preserve">, Aly AM </w:t>
      </w:r>
      <w:r w:rsidRPr="007042DC">
        <w:rPr>
          <w:rFonts w:ascii="Times New Roman" w:hAnsi="Times New Roman"/>
          <w:b/>
          <w:bCs/>
          <w:color w:val="000000"/>
          <w:kern w:val="36"/>
          <w:sz w:val="22"/>
          <w:vertAlign w:val="superscript"/>
        </w:rPr>
        <w:t>2</w:t>
      </w:r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 xml:space="preserve">, </w:t>
      </w:r>
      <w:proofErr w:type="spellStart"/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>Khedr</w:t>
      </w:r>
      <w:proofErr w:type="spellEnd"/>
      <w:r w:rsidRPr="007042DC">
        <w:rPr>
          <w:rFonts w:ascii="Times New Roman" w:hAnsi="Times New Roman"/>
          <w:b/>
          <w:bCs/>
          <w:color w:val="000000"/>
          <w:kern w:val="36"/>
          <w:sz w:val="22"/>
        </w:rPr>
        <w:t xml:space="preserve"> GA</w:t>
      </w:r>
      <w:r w:rsidRPr="007042DC">
        <w:rPr>
          <w:rFonts w:ascii="Times New Roman" w:hAnsi="Times New Roman"/>
          <w:b/>
          <w:bCs/>
          <w:color w:val="000000"/>
          <w:kern w:val="36"/>
          <w:sz w:val="22"/>
          <w:vertAlign w:val="superscript"/>
        </w:rPr>
        <w:t>3</w:t>
      </w:r>
    </w:p>
    <w:p w:rsidR="00E70D74" w:rsidRPr="007042DC" w:rsidRDefault="00E70D74" w:rsidP="00E70D7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2"/>
        </w:rPr>
      </w:pPr>
      <w:r w:rsidRPr="007042DC">
        <w:rPr>
          <w:rFonts w:ascii="Times New Roman" w:hAnsi="Times New Roman"/>
          <w:sz w:val="22"/>
          <w:vertAlign w:val="superscript"/>
        </w:rPr>
        <w:t>1</w:t>
      </w:r>
      <w:r w:rsidRPr="007042DC">
        <w:rPr>
          <w:rFonts w:ascii="Times New Roman" w:hAnsi="Times New Roman"/>
          <w:sz w:val="22"/>
        </w:rPr>
        <w:t>Clinical Pathology Department, Alexandria, Egypt</w:t>
      </w:r>
    </w:p>
    <w:p w:rsidR="00E70D74" w:rsidRPr="007042DC" w:rsidRDefault="00E70D74" w:rsidP="00E70D7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2"/>
        </w:rPr>
      </w:pPr>
      <w:r w:rsidRPr="007042DC">
        <w:rPr>
          <w:rFonts w:ascii="Times New Roman" w:hAnsi="Times New Roman"/>
          <w:sz w:val="22"/>
          <w:vertAlign w:val="superscript"/>
        </w:rPr>
        <w:t>2</w:t>
      </w:r>
      <w:r w:rsidRPr="007042DC">
        <w:rPr>
          <w:rFonts w:ascii="Times New Roman" w:hAnsi="Times New Roman"/>
          <w:sz w:val="22"/>
        </w:rPr>
        <w:t>Internal Medicine Department, Alexandria, Egypt</w:t>
      </w:r>
    </w:p>
    <w:p w:rsidR="00E70D74" w:rsidRPr="007042DC" w:rsidRDefault="00E70D74" w:rsidP="00E70D7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2"/>
        </w:rPr>
      </w:pPr>
      <w:r w:rsidRPr="007042DC">
        <w:rPr>
          <w:rFonts w:ascii="Times New Roman" w:hAnsi="Times New Roman"/>
          <w:sz w:val="22"/>
          <w:vertAlign w:val="superscript"/>
        </w:rPr>
        <w:t>3</w:t>
      </w:r>
      <w:r w:rsidRPr="007042DC">
        <w:rPr>
          <w:rFonts w:ascii="Times New Roman" w:hAnsi="Times New Roman"/>
          <w:sz w:val="22"/>
        </w:rPr>
        <w:t xml:space="preserve">Clinical Oncology Department </w:t>
      </w:r>
    </w:p>
    <w:p w:rsidR="00E70D74" w:rsidRPr="007042DC" w:rsidRDefault="00E70D74" w:rsidP="00E70D7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2"/>
        </w:rPr>
      </w:pPr>
      <w:r w:rsidRPr="007042DC">
        <w:rPr>
          <w:rFonts w:ascii="Times New Roman" w:hAnsi="Times New Roman"/>
          <w:sz w:val="22"/>
        </w:rPr>
        <w:t>Faculty of Medicine, Alexandria University, Alexandria, Egypt</w:t>
      </w:r>
    </w:p>
    <w:p w:rsidR="00E70D74" w:rsidRPr="007042DC" w:rsidRDefault="00E70D74" w:rsidP="00E70D7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2"/>
        </w:rPr>
      </w:pPr>
      <w:r>
        <w:rPr>
          <w:rFonts w:ascii="Arial" w:hAnsi="Arial" w:cs="Arial"/>
          <w:b/>
          <w:bCs/>
          <w:iCs/>
          <w:color w:val="000000"/>
          <w:kern w:val="0"/>
          <w:szCs w:val="21"/>
        </w:rPr>
        <w:t>Dr.</w:t>
      </w:r>
      <w:r>
        <w:rPr>
          <w:rFonts w:ascii="Arial" w:hAnsi="Arial" w:cs="Arial" w:hint="eastAsia"/>
          <w:b/>
          <w:bCs/>
          <w:iCs/>
          <w:color w:val="000000"/>
          <w:kern w:val="0"/>
          <w:szCs w:val="21"/>
        </w:rPr>
        <w:t xml:space="preserve"> </w:t>
      </w:r>
      <w:r>
        <w:rPr>
          <w:rFonts w:ascii="Arial" w:hAnsi="Arial" w:cs="Arial"/>
          <w:b/>
          <w:bCs/>
          <w:iCs/>
          <w:color w:val="000000"/>
          <w:kern w:val="0"/>
          <w:szCs w:val="21"/>
        </w:rPr>
        <w:t>Doaa Hashad-</w:t>
      </w:r>
      <w:r w:rsidRPr="007042DC">
        <w:rPr>
          <w:rFonts w:ascii="Times New Roman" w:hAnsi="Times New Roman"/>
          <w:sz w:val="22"/>
        </w:rPr>
        <w:t>Clinical Pathology Department, Alexandria, Egypt</w:t>
      </w:r>
    </w:p>
    <w:p w:rsidR="00E70D74" w:rsidRDefault="00E70D74" w:rsidP="00E70D74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iCs/>
          <w:color w:val="000000"/>
          <w:kern w:val="0"/>
          <w:szCs w:val="21"/>
        </w:rPr>
      </w:pPr>
      <w:bookmarkStart w:id="0" w:name="_GoBack"/>
      <w:bookmarkEnd w:id="0"/>
    </w:p>
    <w:p w:rsidR="00E70D74" w:rsidRDefault="00E70D74" w:rsidP="00E70D74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Pr="001254D7" w:rsidRDefault="00E70D74" w:rsidP="00E70D74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r w:rsidRPr="000B72BE">
        <w:rPr>
          <w:rFonts w:ascii="Times New Roman" w:hAnsi="Times New Roman"/>
          <w:b/>
          <w:bCs/>
          <w:sz w:val="24"/>
          <w:szCs w:val="24"/>
        </w:rPr>
        <w:t>Background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Gastric</w:t>
      </w:r>
      <w:r w:rsidRPr="00E04A63">
        <w:rPr>
          <w:rFonts w:ascii="Times New Roman" w:hAnsi="Times New Roman"/>
          <w:sz w:val="24"/>
          <w:szCs w:val="24"/>
        </w:rPr>
        <w:t xml:space="preserve"> cancer </w:t>
      </w:r>
      <w:r>
        <w:rPr>
          <w:rFonts w:ascii="Times New Roman" w:hAnsi="Times New Roman"/>
          <w:sz w:val="24"/>
          <w:szCs w:val="24"/>
        </w:rPr>
        <w:t xml:space="preserve">(GC) </w:t>
      </w:r>
      <w:r w:rsidRPr="00E04A63">
        <w:rPr>
          <w:rFonts w:ascii="Times New Roman" w:hAnsi="Times New Roman"/>
          <w:sz w:val="24"/>
          <w:szCs w:val="24"/>
        </w:rPr>
        <w:t xml:space="preserve">is </w:t>
      </w:r>
      <w:r>
        <w:rPr>
          <w:rFonts w:ascii="Times New Roman" w:hAnsi="Times New Roman"/>
          <w:sz w:val="24"/>
          <w:szCs w:val="24"/>
        </w:rPr>
        <w:t xml:space="preserve">ranked as </w:t>
      </w:r>
      <w:r w:rsidRPr="00E04A63">
        <w:rPr>
          <w:rFonts w:ascii="Times New Roman" w:hAnsi="Times New Roman"/>
          <w:sz w:val="24"/>
          <w:szCs w:val="24"/>
        </w:rPr>
        <w:t>one</w:t>
      </w:r>
      <w:r>
        <w:rPr>
          <w:rFonts w:ascii="Times New Roman" w:hAnsi="Times New Roman"/>
          <w:sz w:val="24"/>
          <w:szCs w:val="24"/>
        </w:rPr>
        <w:t xml:space="preserve"> of the common causes of cancer-</w:t>
      </w:r>
      <w:r w:rsidRPr="00E04A63">
        <w:rPr>
          <w:rFonts w:ascii="Times New Roman" w:hAnsi="Times New Roman"/>
          <w:sz w:val="24"/>
          <w:szCs w:val="24"/>
        </w:rPr>
        <w:t xml:space="preserve">related deaths </w:t>
      </w:r>
      <w:r w:rsidRPr="006A2674">
        <w:rPr>
          <w:rFonts w:ascii="Times New Roman" w:hAnsi="Times New Roman"/>
          <w:sz w:val="24"/>
          <w:szCs w:val="24"/>
        </w:rPr>
        <w:t xml:space="preserve">worldwide </w:t>
      </w:r>
      <w:r>
        <w:rPr>
          <w:rFonts w:ascii="Times New Roman" w:hAnsi="Times New Roman"/>
          <w:sz w:val="24"/>
          <w:szCs w:val="24"/>
        </w:rPr>
        <w:t xml:space="preserve">despite the improvement in management strategies of radical surgeries and novel chemotherapies. </w:t>
      </w:r>
      <w:r w:rsidRPr="003312BF">
        <w:rPr>
          <w:rFonts w:ascii="Times New Roman" w:hAnsi="Times New Roman"/>
          <w:sz w:val="24"/>
          <w:szCs w:val="24"/>
        </w:rPr>
        <w:t xml:space="preserve">Long non-coding RNAs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 w:rsidRPr="008802AF">
        <w:rPr>
          <w:rFonts w:ascii="Times New Roman" w:hAnsi="Times New Roman"/>
          <w:sz w:val="24"/>
          <w:szCs w:val="24"/>
        </w:rPr>
        <w:t>LncRNAs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8802AF">
        <w:rPr>
          <w:rFonts w:ascii="Times New Roman" w:hAnsi="Times New Roman"/>
          <w:sz w:val="24"/>
          <w:szCs w:val="24"/>
        </w:rPr>
        <w:t xml:space="preserve"> have been implicated to regulate a range of biological functions and the disruption of some of these functions, such as genomic imprinting and transcriptional regulation, plays a critical role in cancer development </w:t>
      </w:r>
      <w:r>
        <w:rPr>
          <w:rFonts w:ascii="Times New Roman" w:hAnsi="Times New Roman"/>
          <w:sz w:val="24"/>
          <w:szCs w:val="24"/>
        </w:rPr>
        <w:t>and metastatic events</w:t>
      </w:r>
      <w:r w:rsidRPr="008802AF">
        <w:rPr>
          <w:rFonts w:ascii="Times New Roman" w:hAnsi="Times New Roman"/>
          <w:sz w:val="24"/>
          <w:szCs w:val="24"/>
        </w:rPr>
        <w:t>.</w:t>
      </w:r>
    </w:p>
    <w:p w:rsidR="00E70D74" w:rsidRPr="00C255CE" w:rsidRDefault="00E70D74" w:rsidP="00E70D74">
      <w:pPr>
        <w:spacing w:line="480" w:lineRule="auto"/>
        <w:rPr>
          <w:rFonts w:ascii="Times New Roman" w:hAnsi="Times New Roman"/>
          <w:sz w:val="24"/>
          <w:szCs w:val="24"/>
        </w:rPr>
      </w:pPr>
      <w:r w:rsidRPr="008802AF">
        <w:rPr>
          <w:rFonts w:ascii="Times New Roman" w:hAnsi="Times New Roman"/>
          <w:sz w:val="24"/>
          <w:szCs w:val="24"/>
        </w:rPr>
        <w:t xml:space="preserve">One of the first </w:t>
      </w:r>
      <w:r>
        <w:rPr>
          <w:rFonts w:ascii="Times New Roman" w:hAnsi="Times New Roman"/>
          <w:sz w:val="24"/>
          <w:szCs w:val="24"/>
        </w:rPr>
        <w:t>L</w:t>
      </w:r>
      <w:r w:rsidRPr="008802AF">
        <w:rPr>
          <w:rFonts w:ascii="Times New Roman" w:hAnsi="Times New Roman"/>
          <w:sz w:val="24"/>
          <w:szCs w:val="24"/>
        </w:rPr>
        <w:t xml:space="preserve">ncRNA genes reported was the imprinted </w:t>
      </w:r>
      <w:r w:rsidRPr="008802AF">
        <w:rPr>
          <w:rFonts w:ascii="Times New Roman" w:hAnsi="Times New Roman"/>
          <w:i/>
          <w:iCs/>
          <w:sz w:val="24"/>
          <w:szCs w:val="24"/>
        </w:rPr>
        <w:t>H19</w:t>
      </w:r>
      <w:r w:rsidRPr="008802AF">
        <w:rPr>
          <w:rFonts w:ascii="Times New Roman" w:hAnsi="Times New Roman"/>
          <w:sz w:val="24"/>
          <w:szCs w:val="24"/>
        </w:rPr>
        <w:t xml:space="preserve"> gene with loss of imprinting and subsequent strong gene expression in a variety of cancers </w:t>
      </w:r>
      <w:r w:rsidRPr="004D050E">
        <w:rPr>
          <w:rFonts w:ascii="Times New Roman" w:hAnsi="Times New Roman"/>
          <w:i/>
          <w:iCs/>
          <w:sz w:val="24"/>
          <w:szCs w:val="24"/>
        </w:rPr>
        <w:t>H19</w:t>
      </w:r>
      <w:r w:rsidRPr="004D050E">
        <w:rPr>
          <w:rFonts w:ascii="Times New Roman" w:hAnsi="Times New Roman"/>
          <w:sz w:val="24"/>
          <w:szCs w:val="24"/>
        </w:rPr>
        <w:t xml:space="preserve"> is one of the </w:t>
      </w:r>
      <w:r>
        <w:rPr>
          <w:rFonts w:ascii="Times New Roman" w:hAnsi="Times New Roman"/>
          <w:sz w:val="24"/>
          <w:szCs w:val="24"/>
        </w:rPr>
        <w:t>LncRNA</w:t>
      </w:r>
      <w:r w:rsidRPr="004D050E">
        <w:rPr>
          <w:rFonts w:ascii="Times New Roman" w:hAnsi="Times New Roman"/>
          <w:sz w:val="24"/>
          <w:szCs w:val="24"/>
        </w:rPr>
        <w:t xml:space="preserve"> that is related to the </w:t>
      </w:r>
      <w:r w:rsidRPr="001633E3">
        <w:rPr>
          <w:rFonts w:ascii="Times New Roman" w:hAnsi="Times New Roman"/>
          <w:sz w:val="24"/>
          <w:szCs w:val="24"/>
        </w:rPr>
        <w:t xml:space="preserve">progression of many diseases including cancers. This work was carried out to study the level of the long non-coding RNA; </w:t>
      </w:r>
      <w:r w:rsidRPr="001633E3">
        <w:rPr>
          <w:rFonts w:ascii="Times New Roman" w:hAnsi="Times New Roman"/>
          <w:i/>
          <w:iCs/>
          <w:sz w:val="24"/>
          <w:szCs w:val="24"/>
        </w:rPr>
        <w:t>H119</w:t>
      </w:r>
      <w:r w:rsidRPr="001633E3">
        <w:rPr>
          <w:rFonts w:ascii="Times New Roman" w:hAnsi="Times New Roman"/>
          <w:sz w:val="24"/>
          <w:szCs w:val="24"/>
        </w:rPr>
        <w:t>, in plasma of patients with gastric cancer (GC) and to asse</w:t>
      </w:r>
      <w:r>
        <w:rPr>
          <w:rFonts w:ascii="Times New Roman" w:hAnsi="Times New Roman"/>
          <w:sz w:val="24"/>
          <w:szCs w:val="24"/>
        </w:rPr>
        <w:t xml:space="preserve">ss its significance in their clinical management. </w:t>
      </w:r>
      <w:r w:rsidRPr="001633E3">
        <w:rPr>
          <w:rFonts w:ascii="Times New Roman" w:hAnsi="Times New Roman"/>
          <w:b/>
          <w:bCs/>
          <w:sz w:val="24"/>
          <w:szCs w:val="24"/>
        </w:rPr>
        <w:t>Methods:</w:t>
      </w:r>
      <w:r w:rsidRPr="001633E3">
        <w:rPr>
          <w:rFonts w:ascii="Times New Roman" w:hAnsi="Times New Roman"/>
          <w:sz w:val="24"/>
          <w:szCs w:val="24"/>
        </w:rPr>
        <w:t xml:space="preserve"> A total of </w:t>
      </w:r>
      <w:proofErr w:type="gramStart"/>
      <w:r w:rsidRPr="001633E3">
        <w:rPr>
          <w:rFonts w:ascii="Times New Roman" w:hAnsi="Times New Roman"/>
          <w:sz w:val="24"/>
          <w:szCs w:val="24"/>
        </w:rPr>
        <w:t>sixty two</w:t>
      </w:r>
      <w:proofErr w:type="gramEnd"/>
      <w:r w:rsidRPr="001633E3">
        <w:rPr>
          <w:rFonts w:ascii="Times New Roman" w:hAnsi="Times New Roman"/>
          <w:sz w:val="24"/>
          <w:szCs w:val="24"/>
        </w:rPr>
        <w:t xml:space="preserve"> participants were enrolled in the present study. The first group included </w:t>
      </w:r>
      <w:proofErr w:type="gramStart"/>
      <w:r w:rsidRPr="001633E3">
        <w:rPr>
          <w:rFonts w:ascii="Times New Roman" w:hAnsi="Times New Roman"/>
          <w:sz w:val="24"/>
          <w:szCs w:val="24"/>
        </w:rPr>
        <w:t>thirty two</w:t>
      </w:r>
      <w:proofErr w:type="gramEnd"/>
      <w:r w:rsidRPr="001633E3">
        <w:rPr>
          <w:rFonts w:ascii="Times New Roman" w:hAnsi="Times New Roman"/>
          <w:sz w:val="24"/>
          <w:szCs w:val="24"/>
        </w:rPr>
        <w:t xml:space="preserve"> GC patients, while the second group was formed of thirty age and sex matched healthy volunteers serving as a control group.  Plasma samples were used to assess </w:t>
      </w:r>
      <w:r w:rsidRPr="001633E3">
        <w:rPr>
          <w:rFonts w:ascii="Times New Roman" w:hAnsi="Times New Roman"/>
          <w:i/>
          <w:iCs/>
          <w:sz w:val="24"/>
          <w:szCs w:val="24"/>
        </w:rPr>
        <w:t>H19</w:t>
      </w:r>
      <w:r w:rsidRPr="001633E3">
        <w:rPr>
          <w:rFonts w:ascii="Times New Roman" w:hAnsi="Times New Roman"/>
          <w:sz w:val="24"/>
          <w:szCs w:val="24"/>
        </w:rPr>
        <w:t xml:space="preserve"> gene</w:t>
      </w:r>
      <w:r w:rsidRPr="001633E3">
        <w:rPr>
          <w:rFonts w:ascii="Times New Roman" w:hAnsi="Times New Roman"/>
          <w:color w:val="000000"/>
          <w:sz w:val="24"/>
          <w:szCs w:val="24"/>
        </w:rPr>
        <w:t xml:space="preserve"> expression using real time quantitative PCR technique.</w:t>
      </w:r>
      <w:r w:rsidRPr="001633E3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633E3">
        <w:rPr>
          <w:rFonts w:ascii="Times New Roman" w:hAnsi="Times New Roman"/>
          <w:b/>
          <w:bCs/>
          <w:sz w:val="24"/>
          <w:szCs w:val="24"/>
        </w:rPr>
        <w:t>Results:</w:t>
      </w:r>
      <w:r w:rsidRPr="001633E3">
        <w:rPr>
          <w:rFonts w:ascii="Times New Roman" w:hAnsi="Times New Roman"/>
          <w:i/>
          <w:iCs/>
          <w:sz w:val="24"/>
          <w:szCs w:val="24"/>
        </w:rPr>
        <w:t xml:space="preserve"> H19</w:t>
      </w:r>
      <w:r w:rsidRPr="001633E3">
        <w:rPr>
          <w:rFonts w:ascii="Times New Roman" w:hAnsi="Times New Roman"/>
          <w:sz w:val="24"/>
          <w:szCs w:val="24"/>
        </w:rPr>
        <w:t xml:space="preserve"> expression was up-regulated in GC patients with positive correlation to TNM cancer stages. </w:t>
      </w:r>
      <w:r w:rsidRPr="001633E3">
        <w:rPr>
          <w:rFonts w:ascii="Times New Roman" w:hAnsi="Times New Roman"/>
          <w:b/>
          <w:bCs/>
          <w:sz w:val="24"/>
          <w:szCs w:val="24"/>
        </w:rPr>
        <w:t>Conclusions</w:t>
      </w:r>
      <w:r w:rsidRPr="001633E3">
        <w:rPr>
          <w:rFonts w:ascii="Times New Roman" w:hAnsi="Times New Roman"/>
          <w:sz w:val="24"/>
          <w:szCs w:val="24"/>
        </w:rPr>
        <w:t xml:space="preserve">:  </w:t>
      </w:r>
      <w:r>
        <w:rPr>
          <w:rFonts w:ascii="Times New Roman" w:hAnsi="Times New Roman"/>
          <w:sz w:val="24"/>
          <w:szCs w:val="24"/>
        </w:rPr>
        <w:t>U</w:t>
      </w:r>
      <w:r w:rsidRPr="00EF3990">
        <w:rPr>
          <w:rFonts w:ascii="Times New Roman" w:hAnsi="Times New Roman"/>
          <w:sz w:val="24"/>
          <w:szCs w:val="24"/>
        </w:rPr>
        <w:t xml:space="preserve">p-regulation of </w:t>
      </w:r>
      <w:r w:rsidRPr="00043241">
        <w:rPr>
          <w:rFonts w:ascii="Times New Roman" w:hAnsi="Times New Roman"/>
          <w:i/>
          <w:iCs/>
          <w:sz w:val="24"/>
          <w:szCs w:val="24"/>
        </w:rPr>
        <w:t>H19</w:t>
      </w:r>
      <w:r w:rsidRPr="00EF3990">
        <w:rPr>
          <w:rFonts w:ascii="Times New Roman" w:hAnsi="Times New Roman"/>
          <w:sz w:val="24"/>
          <w:szCs w:val="24"/>
        </w:rPr>
        <w:t xml:space="preserve"> is closely associated with gastric cancer </w:t>
      </w:r>
      <w:r>
        <w:rPr>
          <w:rFonts w:ascii="Times New Roman" w:hAnsi="Times New Roman"/>
          <w:sz w:val="24"/>
          <w:szCs w:val="24"/>
        </w:rPr>
        <w:t xml:space="preserve">and correlates well with tumor staging. Convenient, efficient quantification of </w:t>
      </w:r>
      <w:r w:rsidRPr="003B5CAD">
        <w:rPr>
          <w:rFonts w:ascii="Times New Roman" w:hAnsi="Times New Roman"/>
          <w:i/>
          <w:iCs/>
          <w:sz w:val="24"/>
          <w:szCs w:val="24"/>
        </w:rPr>
        <w:t>H19</w:t>
      </w:r>
      <w:r>
        <w:rPr>
          <w:rFonts w:ascii="Times New Roman" w:hAnsi="Times New Roman"/>
          <w:sz w:val="24"/>
          <w:szCs w:val="24"/>
        </w:rPr>
        <w:t xml:space="preserve"> in plasma using real time PCR technique implements its role as a potential noninvasive prognostic biomarker in </w:t>
      </w:r>
      <w:r w:rsidRPr="001633E3">
        <w:rPr>
          <w:rFonts w:ascii="Times New Roman" w:hAnsi="Times New Roman"/>
          <w:sz w:val="24"/>
          <w:szCs w:val="24"/>
        </w:rPr>
        <w:t>gastric cancer</w:t>
      </w:r>
      <w:r>
        <w:rPr>
          <w:rFonts w:ascii="Times New Roman" w:hAnsi="Times New Roman"/>
          <w:sz w:val="24"/>
          <w:szCs w:val="24"/>
        </w:rPr>
        <w:t xml:space="preserve">, that predicts patient’s outcome and most </w:t>
      </w:r>
      <w:r w:rsidRPr="00792DCC">
        <w:rPr>
          <w:rFonts w:ascii="Times New Roman" w:hAnsi="Times New Roman"/>
          <w:sz w:val="24"/>
          <w:szCs w:val="24"/>
        </w:rPr>
        <w:t xml:space="preserve">importantly as a novel target in gastric cancer treatment with better </w:t>
      </w:r>
      <w:r>
        <w:rPr>
          <w:rFonts w:ascii="Times New Roman" w:hAnsi="Times New Roman"/>
          <w:sz w:val="24"/>
          <w:szCs w:val="24"/>
        </w:rPr>
        <w:t>performance</w:t>
      </w:r>
      <w:r w:rsidRPr="00792DCC">
        <w:rPr>
          <w:rFonts w:ascii="Times New Roman" w:hAnsi="Times New Roman"/>
          <w:sz w:val="24"/>
          <w:szCs w:val="24"/>
        </w:rPr>
        <w:t xml:space="preserve"> achieved on using both CEA and </w:t>
      </w:r>
      <w:r w:rsidRPr="00792DCC">
        <w:rPr>
          <w:rFonts w:ascii="Times New Roman" w:hAnsi="Times New Roman"/>
          <w:i/>
          <w:iCs/>
          <w:sz w:val="24"/>
          <w:szCs w:val="24"/>
        </w:rPr>
        <w:t>H19</w:t>
      </w:r>
      <w:r w:rsidRPr="00792DCC">
        <w:rPr>
          <w:rFonts w:ascii="Times New Roman" w:hAnsi="Times New Roman"/>
          <w:sz w:val="24"/>
          <w:szCs w:val="24"/>
        </w:rPr>
        <w:t xml:space="preserve"> </w:t>
      </w:r>
      <w:r w:rsidRPr="00792DCC">
        <w:rPr>
          <w:rFonts w:ascii="Times New Roman" w:hAnsi="Times New Roman"/>
          <w:sz w:val="24"/>
          <w:szCs w:val="24"/>
          <w:shd w:val="clear" w:color="auto" w:fill="FFFFFF"/>
        </w:rPr>
        <w:t>simultaneously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E70D74" w:rsidRDefault="00E70D74" w:rsidP="00E70D74">
      <w:pPr>
        <w:rPr>
          <w:rFonts w:ascii="Arial" w:hAnsi="Arial" w:cs="Arial"/>
          <w:b/>
          <w:bCs/>
          <w:iCs/>
          <w:color w:val="000000"/>
          <w:kern w:val="0"/>
          <w:szCs w:val="21"/>
        </w:rPr>
      </w:pPr>
    </w:p>
    <w:p w:rsidR="000D53EC" w:rsidRDefault="000D53EC"/>
    <w:sectPr w:rsidR="000D53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F4"/>
    <w:rsid w:val="000D53EC"/>
    <w:rsid w:val="003D40F4"/>
    <w:rsid w:val="00E7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EA2E3"/>
  <w15:chartTrackingRefBased/>
  <w15:docId w15:val="{59EFE98E-23DC-4577-925F-730838AF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70D74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doaa hashad</dc:creator>
  <cp:keywords/>
  <dc:description/>
  <cp:lastModifiedBy>doaa hashad</cp:lastModifiedBy>
  <cp:revision>3</cp:revision>
  <dcterms:created xsi:type="dcterms:W3CDTF">2016-11-15T16:20:00Z</dcterms:created>
  <dcterms:modified xsi:type="dcterms:W3CDTF">2016-11-15T16:21:00Z</dcterms:modified>
</cp:coreProperties>
</file>