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9135EF" w14:textId="77777777" w:rsidR="005E32A1" w:rsidRDefault="005E32A1" w:rsidP="005E32A1">
      <w:pPr>
        <w:spacing w:before="100" w:beforeAutospacing="1" w:after="100" w:afterAutospacing="1"/>
        <w:rPr>
          <w:rFonts w:asciiTheme="majorBidi" w:hAnsiTheme="majorBidi" w:cstheme="majorBidi"/>
          <w:sz w:val="28"/>
          <w:szCs w:val="28"/>
          <w:rtl/>
        </w:rPr>
      </w:pPr>
      <w:r w:rsidRPr="00075A29">
        <w:rPr>
          <w:rFonts w:asciiTheme="majorBidi" w:hAnsiTheme="majorBidi" w:cstheme="majorBidi"/>
          <w:sz w:val="28"/>
          <w:szCs w:val="28"/>
        </w:rPr>
        <w:t xml:space="preserve">Prognostic Impact of PPP2R5C Gene Expression in Adult Acute Myeloid Leukemia Patients with Normal Cytogenetics </w:t>
      </w:r>
    </w:p>
    <w:p w14:paraId="07C53F4F" w14:textId="77777777" w:rsidR="00ED281E" w:rsidRDefault="00ED281E">
      <w:bookmarkStart w:id="0" w:name="_GoBack"/>
      <w:bookmarkEnd w:id="0"/>
    </w:p>
    <w:sectPr w:rsidR="00ED281E" w:rsidSect="00B61D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2A1"/>
    <w:rsid w:val="005E32A1"/>
    <w:rsid w:val="00B61DEC"/>
    <w:rsid w:val="00ED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626E73"/>
  <w15:chartTrackingRefBased/>
  <w15:docId w15:val="{E5A5E70E-7B2F-F140-B964-25738D82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E32A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 Eltaweel</dc:creator>
  <cp:keywords/>
  <dc:description/>
  <cp:lastModifiedBy>Maha Eltaweel</cp:lastModifiedBy>
  <cp:revision>1</cp:revision>
  <dcterms:created xsi:type="dcterms:W3CDTF">2019-11-10T09:31:00Z</dcterms:created>
  <dcterms:modified xsi:type="dcterms:W3CDTF">2019-11-10T09:31:00Z</dcterms:modified>
</cp:coreProperties>
</file>