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DF4" w:rsidRPr="00960B32" w:rsidRDefault="00603520" w:rsidP="00160389">
      <w:pPr>
        <w:pStyle w:val="2"/>
        <w:jc w:val="both"/>
        <w:rPr>
          <w:rFonts w:hAnsi="Times New Roman"/>
          <w:szCs w:val="24"/>
        </w:rPr>
      </w:pPr>
      <w:r w:rsidRPr="00603520">
        <w:rPr>
          <w:rFonts w:hAnsi="Times New Roman"/>
          <w:szCs w:val="24"/>
        </w:rPr>
        <w:t xml:space="preserve">SIRT3 regulates bone remodeling in mice by </w:t>
      </w:r>
      <w:r>
        <w:rPr>
          <w:rFonts w:hAnsi="Times New Roman"/>
          <w:szCs w:val="24"/>
        </w:rPr>
        <w:t>regulating</w:t>
      </w:r>
      <w:r w:rsidRPr="00603520">
        <w:rPr>
          <w:rFonts w:hAnsi="Times New Roman"/>
          <w:szCs w:val="24"/>
        </w:rPr>
        <w:t xml:space="preserve"> AMPK </w:t>
      </w:r>
      <w:r>
        <w:rPr>
          <w:rFonts w:hAnsi="Times New Roman"/>
          <w:szCs w:val="24"/>
        </w:rPr>
        <w:t>activity</w:t>
      </w:r>
    </w:p>
    <w:p w:rsidR="00096381" w:rsidRPr="00B524AA" w:rsidRDefault="008B45E3" w:rsidP="00096381">
      <w:pPr>
        <w:wordWrap/>
        <w:adjustRightInd w:val="0"/>
        <w:snapToGrid w:val="0"/>
        <w:spacing w:line="360" w:lineRule="auto"/>
        <w:jc w:val="left"/>
        <w:rPr>
          <w:rFonts w:ascii="Times New Roman"/>
          <w:sz w:val="24"/>
          <w:szCs w:val="24"/>
        </w:rPr>
      </w:pPr>
      <w:r w:rsidRPr="00B524AA">
        <w:rPr>
          <w:rFonts w:ascii="Times New Roman"/>
          <w:sz w:val="24"/>
          <w:szCs w:val="24"/>
        </w:rPr>
        <w:t>Jeong-Eun Huh</w:t>
      </w:r>
      <w:r>
        <w:rPr>
          <w:rFonts w:ascii="Times New Roman"/>
          <w:sz w:val="24"/>
          <w:szCs w:val="24"/>
          <w:vertAlign w:val="superscript"/>
        </w:rPr>
        <w:t>1,2</w:t>
      </w:r>
      <w:r>
        <w:rPr>
          <w:rFonts w:ascii="Times New Roman"/>
          <w:sz w:val="24"/>
          <w:szCs w:val="24"/>
        </w:rPr>
        <w:t xml:space="preserve"> </w:t>
      </w:r>
      <w:r w:rsidR="00096381">
        <w:rPr>
          <w:rFonts w:ascii="Times New Roman"/>
          <w:sz w:val="24"/>
          <w:szCs w:val="24"/>
        </w:rPr>
        <w:t>and</w:t>
      </w:r>
      <w:r w:rsidR="00096381" w:rsidRPr="00B524AA">
        <w:rPr>
          <w:rFonts w:ascii="Times New Roman" w:hint="eastAsia"/>
          <w:sz w:val="24"/>
          <w:szCs w:val="24"/>
        </w:rPr>
        <w:t xml:space="preserve"> </w:t>
      </w:r>
      <w:r w:rsidR="00603520" w:rsidRPr="00B524AA">
        <w:rPr>
          <w:rFonts w:ascii="Times New Roman" w:hint="eastAsia"/>
          <w:sz w:val="24"/>
          <w:szCs w:val="24"/>
        </w:rPr>
        <w:t>Soo Young Lee</w:t>
      </w:r>
      <w:r w:rsidR="00603520">
        <w:rPr>
          <w:rFonts w:ascii="Times New Roman"/>
          <w:sz w:val="24"/>
          <w:szCs w:val="24"/>
          <w:vertAlign w:val="superscript"/>
        </w:rPr>
        <w:t>1</w:t>
      </w:r>
      <w:r w:rsidR="00603520" w:rsidRPr="00B524AA">
        <w:rPr>
          <w:rFonts w:ascii="Times New Roman"/>
          <w:sz w:val="24"/>
          <w:szCs w:val="24"/>
          <w:vertAlign w:val="superscript"/>
        </w:rPr>
        <w:t>,</w:t>
      </w:r>
      <w:r w:rsidR="00603520">
        <w:rPr>
          <w:rFonts w:ascii="Times New Roman"/>
          <w:sz w:val="24"/>
          <w:szCs w:val="24"/>
          <w:vertAlign w:val="superscript"/>
        </w:rPr>
        <w:t>2</w:t>
      </w:r>
      <w:r w:rsidR="00603520" w:rsidRPr="00B524AA">
        <w:rPr>
          <w:rFonts w:ascii="Times New Roman"/>
          <w:sz w:val="24"/>
          <w:szCs w:val="24"/>
          <w:vertAlign w:val="superscript"/>
        </w:rPr>
        <w:t>,</w:t>
      </w:r>
      <w:r w:rsidR="00603520">
        <w:rPr>
          <w:rFonts w:ascii="Times New Roman"/>
          <w:sz w:val="24"/>
          <w:szCs w:val="24"/>
          <w:vertAlign w:val="superscript"/>
        </w:rPr>
        <w:t>*</w:t>
      </w:r>
    </w:p>
    <w:p w:rsidR="00603520" w:rsidRPr="00B524AA" w:rsidRDefault="00603520" w:rsidP="00603520">
      <w:pPr>
        <w:pStyle w:val="a3"/>
        <w:adjustRightInd w:val="0"/>
        <w:snapToGrid w:val="0"/>
        <w:spacing w:before="0" w:beforeAutospacing="0" w:after="0" w:afterAutospacing="0" w:line="360" w:lineRule="auto"/>
        <w:rPr>
          <w:rFonts w:ascii="Times New Roman" w:hAnsi="Times New Roman"/>
          <w:szCs w:val="24"/>
        </w:rPr>
      </w:pPr>
      <w:r>
        <w:rPr>
          <w:rFonts w:ascii="Times New Roman"/>
          <w:szCs w:val="24"/>
          <w:vertAlign w:val="superscript"/>
        </w:rPr>
        <w:t>1</w:t>
      </w:r>
      <w:r w:rsidRPr="00B524AA">
        <w:rPr>
          <w:rFonts w:ascii="Times New Roman" w:hAnsi="Times New Roman"/>
          <w:szCs w:val="24"/>
        </w:rPr>
        <w:t>Department of Life Science, Ewha Womans University, Seoul 120-750, Korea</w:t>
      </w:r>
    </w:p>
    <w:p w:rsidR="00603520" w:rsidRPr="00B524AA" w:rsidRDefault="00603520" w:rsidP="00603520">
      <w:pPr>
        <w:pStyle w:val="a3"/>
        <w:adjustRightInd w:val="0"/>
        <w:snapToGrid w:val="0"/>
        <w:spacing w:before="0" w:beforeAutospacing="0" w:after="0" w:afterAutospacing="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  <w:vertAlign w:val="superscript"/>
        </w:rPr>
        <w:t>2</w:t>
      </w:r>
      <w:r w:rsidRPr="00B524AA">
        <w:rPr>
          <w:rFonts w:ascii="Times New Roman" w:hAnsi="Times New Roman"/>
          <w:szCs w:val="24"/>
        </w:rPr>
        <w:t>The Research Center for Cellular Homeostasis, Ewha Womans University, Seoul 120-750, Korea</w:t>
      </w:r>
    </w:p>
    <w:p w:rsidR="00960B32" w:rsidRPr="00D329C3" w:rsidRDefault="00960B32" w:rsidP="00160389">
      <w:pPr>
        <w:wordWrap/>
        <w:spacing w:line="480" w:lineRule="auto"/>
        <w:jc w:val="left"/>
        <w:outlineLvl w:val="0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</w:pPr>
    </w:p>
    <w:p w:rsidR="00160389" w:rsidRPr="00960B32" w:rsidRDefault="00160389" w:rsidP="00160389">
      <w:pPr>
        <w:wordWrap/>
        <w:spacing w:line="480" w:lineRule="auto"/>
        <w:jc w:val="left"/>
        <w:outlineLvl w:val="0"/>
        <w:rPr>
          <w:rFonts w:ascii="Times New Roman" w:hAnsi="Times New Roman" w:cs="Times New Roman"/>
          <w:b/>
          <w:color w:val="7030A0"/>
          <w:sz w:val="24"/>
          <w:szCs w:val="24"/>
          <w:shd w:val="clear" w:color="auto" w:fill="FFFFFF"/>
        </w:rPr>
      </w:pPr>
      <w:r w:rsidRPr="00960B32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Abstract</w:t>
      </w:r>
      <w:bookmarkStart w:id="0" w:name="_GoBack"/>
      <w:bookmarkEnd w:id="0"/>
    </w:p>
    <w:p w:rsidR="00B41138" w:rsidRPr="00960B32" w:rsidRDefault="00160389" w:rsidP="00603520">
      <w:pPr>
        <w:pStyle w:val="a3"/>
        <w:adjustRightInd w:val="0"/>
        <w:snapToGrid w:val="0"/>
        <w:spacing w:before="0" w:beforeAutospacing="0" w:after="0" w:afterAutospacing="0" w:line="360" w:lineRule="auto"/>
        <w:rPr>
          <w:rFonts w:ascii="Times New Roman" w:hAnsi="Times New Roman"/>
          <w:szCs w:val="24"/>
        </w:rPr>
      </w:pPr>
      <w:r w:rsidRPr="00603520">
        <w:rPr>
          <w:rFonts w:ascii="Times New Roman" w:hAnsi="Times New Roman"/>
          <w:szCs w:val="24"/>
          <w:shd w:val="clear" w:color="auto" w:fill="FFFFFF"/>
        </w:rPr>
        <w:t xml:space="preserve">The mitochondrial sirtuin 3 (SIRT3) is involved in suppressing the onset of multiple pathologies, including cardiovascular disease, fatty liver, </w:t>
      </w:r>
      <w:r w:rsidR="00D91658" w:rsidRPr="00603520">
        <w:rPr>
          <w:rFonts w:ascii="Times New Roman" w:hAnsi="Times New Roman"/>
          <w:szCs w:val="24"/>
          <w:shd w:val="clear" w:color="auto" w:fill="FFFFFF"/>
        </w:rPr>
        <w:t>breast cancer</w:t>
      </w:r>
      <w:r w:rsidR="00D91658" w:rsidRPr="00603520">
        <w:rPr>
          <w:rFonts w:ascii="Times New Roman" w:hAnsi="Times New Roman"/>
          <w:szCs w:val="24"/>
          <w:shd w:val="clear" w:color="auto" w:fill="FFFFFF"/>
        </w:rPr>
        <w:t>, and age-related disorders</w:t>
      </w:r>
      <w:r w:rsidRPr="00603520">
        <w:rPr>
          <w:rFonts w:ascii="Times New Roman" w:hAnsi="Times New Roman"/>
          <w:szCs w:val="24"/>
          <w:shd w:val="clear" w:color="auto" w:fill="FFFFFF"/>
        </w:rPr>
        <w:t xml:space="preserve">. </w:t>
      </w:r>
      <w:r w:rsidR="00D91658" w:rsidRPr="00603520">
        <w:rPr>
          <w:rFonts w:ascii="Times New Roman" w:hAnsi="Times New Roman"/>
          <w:szCs w:val="24"/>
          <w:shd w:val="clear" w:color="auto" w:fill="FFFFFF"/>
        </w:rPr>
        <w:t xml:space="preserve">However, its role in </w:t>
      </w:r>
      <w:r w:rsidRPr="00603520">
        <w:rPr>
          <w:rFonts w:ascii="Times New Roman" w:hAnsi="Times New Roman"/>
          <w:szCs w:val="24"/>
          <w:shd w:val="clear" w:color="auto" w:fill="FFFFFF"/>
        </w:rPr>
        <w:t xml:space="preserve">bone metabolism </w:t>
      </w:r>
      <w:r w:rsidR="00B41138" w:rsidRPr="00603520">
        <w:rPr>
          <w:rFonts w:ascii="Times New Roman" w:hAnsi="Times New Roman"/>
          <w:szCs w:val="24"/>
          <w:shd w:val="clear" w:color="auto" w:fill="FFFFFF"/>
        </w:rPr>
        <w:t>is not known</w:t>
      </w:r>
      <w:r w:rsidRPr="00603520">
        <w:rPr>
          <w:rFonts w:ascii="Times New Roman" w:hAnsi="Times New Roman"/>
          <w:szCs w:val="24"/>
          <w:shd w:val="clear" w:color="auto" w:fill="FFFFFF"/>
        </w:rPr>
        <w:t xml:space="preserve">. Here we show </w:t>
      </w:r>
      <w:r w:rsidR="00D91658" w:rsidRPr="00603520">
        <w:rPr>
          <w:rFonts w:ascii="Times New Roman" w:hAnsi="Times New Roman"/>
          <w:szCs w:val="24"/>
          <w:shd w:val="clear" w:color="auto" w:fill="FFFFFF"/>
        </w:rPr>
        <w:t xml:space="preserve">the involvement of </w:t>
      </w:r>
      <w:r w:rsidRPr="00603520">
        <w:rPr>
          <w:rFonts w:ascii="Times New Roman" w:hAnsi="Times New Roman"/>
          <w:szCs w:val="24"/>
          <w:shd w:val="clear" w:color="auto" w:fill="FFFFFF"/>
        </w:rPr>
        <w:t xml:space="preserve">SIRT3 </w:t>
      </w:r>
      <w:r w:rsidR="00D91658" w:rsidRPr="00603520">
        <w:rPr>
          <w:rFonts w:ascii="Times New Roman" w:hAnsi="Times New Roman"/>
          <w:szCs w:val="24"/>
          <w:shd w:val="clear" w:color="auto" w:fill="FFFFFF"/>
        </w:rPr>
        <w:t>in osteoclast differentiation.</w:t>
      </w:r>
      <w:r w:rsidR="00B41138" w:rsidRPr="00603520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9431F2" w:rsidRPr="00603520">
        <w:rPr>
          <w:rFonts w:ascii="Times New Roman" w:hAnsi="Times New Roman" w:hint="eastAsia"/>
          <w:szCs w:val="24"/>
          <w:shd w:val="clear" w:color="auto" w:fill="FFFFFF"/>
        </w:rPr>
        <w:t>R</w:t>
      </w:r>
      <w:r w:rsidR="009431F2" w:rsidRPr="00603520">
        <w:rPr>
          <w:rFonts w:ascii="Times New Roman" w:hAnsi="Times New Roman"/>
          <w:bCs/>
          <w:szCs w:val="24"/>
          <w:shd w:val="clear" w:color="auto" w:fill="FFFFFF"/>
        </w:rPr>
        <w:t>eceptor activator of nuclear factor-κB ligand (RANKL)</w:t>
      </w:r>
      <w:r w:rsidR="009431F2" w:rsidRPr="00603520">
        <w:rPr>
          <w:rFonts w:ascii="Times New Roman" w:hAnsi="Times New Roman" w:hint="eastAsia"/>
          <w:bCs/>
          <w:szCs w:val="24"/>
          <w:shd w:val="clear" w:color="auto" w:fill="FFFFFF"/>
        </w:rPr>
        <w:t xml:space="preserve">, an essential cytokine for osteoclastogenesis, </w:t>
      </w:r>
      <w:r w:rsidR="009431F2" w:rsidRPr="00603520">
        <w:rPr>
          <w:rFonts w:ascii="Times New Roman" w:hAnsi="Times New Roman"/>
          <w:bCs/>
          <w:szCs w:val="24"/>
          <w:shd w:val="clear" w:color="auto" w:fill="FFFFFF"/>
        </w:rPr>
        <w:t>induce</w:t>
      </w:r>
      <w:r w:rsidR="009431F2" w:rsidRPr="00603520">
        <w:rPr>
          <w:rFonts w:ascii="Times New Roman" w:hAnsi="Times New Roman" w:hint="eastAsia"/>
          <w:bCs/>
          <w:szCs w:val="24"/>
          <w:shd w:val="clear" w:color="auto" w:fill="FFFFFF"/>
        </w:rPr>
        <w:t>s the expression of both</w:t>
      </w:r>
      <w:r w:rsidR="009431F2" w:rsidRPr="00603520">
        <w:rPr>
          <w:rFonts w:ascii="Times New Roman" w:hAnsi="Times New Roman" w:hint="eastAsia"/>
          <w:szCs w:val="24"/>
          <w:shd w:val="clear" w:color="auto" w:fill="FFFFFF"/>
        </w:rPr>
        <w:t xml:space="preserve"> </w:t>
      </w:r>
      <w:r w:rsidR="009431F2" w:rsidRPr="00603520">
        <w:rPr>
          <w:rFonts w:ascii="Times New Roman" w:hAnsi="Times New Roman"/>
          <w:szCs w:val="24"/>
        </w:rPr>
        <w:t xml:space="preserve">the transcription coactivator </w:t>
      </w:r>
      <w:r w:rsidR="009431F2" w:rsidRPr="00603520">
        <w:rPr>
          <w:rFonts w:ascii="Times New Roman" w:hAnsi="Times New Roman" w:hint="eastAsia"/>
          <w:szCs w:val="24"/>
          <w:shd w:val="clear" w:color="auto" w:fill="FFFFFF"/>
        </w:rPr>
        <w:t>p</w:t>
      </w:r>
      <w:r w:rsidR="009431F2" w:rsidRPr="00603520">
        <w:rPr>
          <w:rFonts w:ascii="Times New Roman" w:hAnsi="Times New Roman"/>
          <w:szCs w:val="24"/>
          <w:shd w:val="clear" w:color="auto" w:fill="FFFFFF"/>
        </w:rPr>
        <w:t>eroxisome-proliferator-activated receptor-γ</w:t>
      </w:r>
      <w:r w:rsidR="009431F2" w:rsidRPr="00603520">
        <w:rPr>
          <w:rFonts w:ascii="Times New Roman" w:hAnsi="Times New Roman"/>
          <w:i/>
          <w:iCs/>
          <w:szCs w:val="24"/>
          <w:shd w:val="clear" w:color="auto" w:fill="FFFFFF"/>
        </w:rPr>
        <w:t xml:space="preserve"> </w:t>
      </w:r>
      <w:r w:rsidR="009431F2" w:rsidRPr="00603520">
        <w:rPr>
          <w:rFonts w:ascii="Times New Roman" w:hAnsi="Times New Roman"/>
          <w:szCs w:val="24"/>
          <w:shd w:val="clear" w:color="auto" w:fill="FFFFFF"/>
        </w:rPr>
        <w:t>co-activator-1β (PGC1β)</w:t>
      </w:r>
      <w:r w:rsidR="009431F2" w:rsidRPr="00603520">
        <w:rPr>
          <w:rFonts w:ascii="Times New Roman" w:hAnsi="Times New Roman" w:hint="eastAsia"/>
          <w:szCs w:val="24"/>
          <w:shd w:val="clear" w:color="auto" w:fill="FFFFFF"/>
        </w:rPr>
        <w:t xml:space="preserve"> and </w:t>
      </w:r>
      <w:r w:rsidR="009431F2" w:rsidRPr="00603520">
        <w:rPr>
          <w:rFonts w:ascii="Times New Roman" w:hAnsi="Times New Roman"/>
          <w:szCs w:val="24"/>
        </w:rPr>
        <w:t>the nuclear receptor</w:t>
      </w:r>
      <w:r w:rsidR="009431F2" w:rsidRPr="00603520">
        <w:rPr>
          <w:rFonts w:ascii="Times New Roman" w:hAnsi="Times New Roman"/>
          <w:szCs w:val="24"/>
          <w:shd w:val="clear" w:color="auto" w:fill="FFFFFF"/>
        </w:rPr>
        <w:t xml:space="preserve"> estrogen receptor-related receptor α (ERRα)</w:t>
      </w:r>
      <w:r w:rsidR="009431F2" w:rsidRPr="00603520">
        <w:rPr>
          <w:rFonts w:ascii="Times New Roman" w:hAnsi="Times New Roman" w:hint="eastAsia"/>
          <w:szCs w:val="24"/>
          <w:shd w:val="clear" w:color="auto" w:fill="FFFFFF"/>
        </w:rPr>
        <w:t>, which coordinately upregulated SIRT3 during osteoclast differentiation from bone marrow-derived monocytes/macrophages (BMMs).</w:t>
      </w:r>
      <w:r w:rsidR="009431F2" w:rsidRPr="00603520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9431F2" w:rsidRPr="00603520">
        <w:rPr>
          <w:rFonts w:ascii="Times New Roman" w:hAnsi="Times New Roman"/>
          <w:bCs/>
          <w:szCs w:val="24"/>
          <w:shd w:val="clear" w:color="auto" w:fill="FFFFFF"/>
        </w:rPr>
        <w:t>SIRT3-deficient mice exhibit decreased bone mass</w:t>
      </w:r>
      <w:r w:rsidR="009431F2" w:rsidRPr="00603520">
        <w:rPr>
          <w:rFonts w:ascii="Times New Roman" w:hAnsi="Times New Roman" w:hint="eastAsia"/>
          <w:bCs/>
          <w:szCs w:val="24"/>
          <w:shd w:val="clear" w:color="auto" w:fill="FFFFFF"/>
        </w:rPr>
        <w:t xml:space="preserve"> compared with wild-type mice</w:t>
      </w:r>
      <w:r w:rsidR="009431F2" w:rsidRPr="00603520">
        <w:rPr>
          <w:rFonts w:ascii="Times New Roman" w:hAnsi="Times New Roman"/>
          <w:bCs/>
          <w:szCs w:val="24"/>
          <w:shd w:val="clear" w:color="auto" w:fill="FFFFFF"/>
        </w:rPr>
        <w:t xml:space="preserve"> due to increased numbers of osteoclasts. </w:t>
      </w:r>
      <w:r w:rsidR="009431F2" w:rsidRPr="00603520">
        <w:rPr>
          <w:rFonts w:ascii="Times New Roman" w:hAnsi="Times New Roman" w:hint="eastAsia"/>
          <w:bCs/>
          <w:szCs w:val="24"/>
          <w:shd w:val="clear" w:color="auto" w:fill="FFFFFF"/>
        </w:rPr>
        <w:t xml:space="preserve">Consistently, </w:t>
      </w:r>
      <w:r w:rsidR="009431F2" w:rsidRPr="00603520">
        <w:rPr>
          <w:rFonts w:ascii="Times New Roman" w:hAnsi="Times New Roman"/>
          <w:i/>
          <w:szCs w:val="24"/>
          <w:shd w:val="clear" w:color="auto" w:fill="FFFFFF"/>
        </w:rPr>
        <w:t>S</w:t>
      </w:r>
      <w:r w:rsidR="006D3A61" w:rsidRPr="00603520">
        <w:rPr>
          <w:rFonts w:ascii="Times New Roman" w:hAnsi="Times New Roman"/>
          <w:i/>
          <w:szCs w:val="24"/>
          <w:shd w:val="clear" w:color="auto" w:fill="FFFFFF"/>
        </w:rPr>
        <w:t>irt</w:t>
      </w:r>
      <w:r w:rsidR="009431F2" w:rsidRPr="00603520">
        <w:rPr>
          <w:rFonts w:ascii="Times New Roman" w:hAnsi="Times New Roman"/>
          <w:i/>
          <w:szCs w:val="24"/>
          <w:shd w:val="clear" w:color="auto" w:fill="FFFFFF"/>
        </w:rPr>
        <w:t>3</w:t>
      </w:r>
      <w:r w:rsidR="009431F2" w:rsidRPr="00603520">
        <w:rPr>
          <w:rFonts w:ascii="Times New Roman" w:hAnsi="Times New Roman"/>
          <w:i/>
          <w:szCs w:val="24"/>
          <w:shd w:val="clear" w:color="auto" w:fill="FFFFFF"/>
          <w:vertAlign w:val="superscript"/>
        </w:rPr>
        <w:t>-/-</w:t>
      </w:r>
      <w:r w:rsidR="009431F2" w:rsidRPr="00603520">
        <w:rPr>
          <w:rFonts w:ascii="Times New Roman" w:hAnsi="Times New Roman"/>
          <w:szCs w:val="24"/>
          <w:shd w:val="clear" w:color="auto" w:fill="FFFFFF"/>
        </w:rPr>
        <w:t xml:space="preserve"> osteoclast precursor cells underwent increased osteoclastogenesis</w:t>
      </w:r>
      <w:r w:rsidR="006D3A61" w:rsidRPr="00603520">
        <w:rPr>
          <w:rFonts w:ascii="Times New Roman" w:hAnsi="Times New Roman"/>
          <w:szCs w:val="24"/>
          <w:shd w:val="clear" w:color="auto" w:fill="FFFFFF"/>
        </w:rPr>
        <w:t xml:space="preserve"> in response to RANKL</w:t>
      </w:r>
      <w:r w:rsidR="009431F2" w:rsidRPr="00603520">
        <w:rPr>
          <w:rFonts w:ascii="Times New Roman" w:hAnsi="Times New Roman"/>
          <w:szCs w:val="24"/>
          <w:shd w:val="clear" w:color="auto" w:fill="FFFFFF"/>
        </w:rPr>
        <w:t xml:space="preserve">, whereas SIRT3 overexpression in osteoclast precursor cells exhibited reduced the formation of osteoclasts. </w:t>
      </w:r>
      <w:r w:rsidR="000D24FB" w:rsidRPr="00603520">
        <w:rPr>
          <w:rFonts w:ascii="Times New Roman" w:hAnsi="Times New Roman" w:hint="eastAsia"/>
          <w:szCs w:val="24"/>
        </w:rPr>
        <w:t>Strikingly</w:t>
      </w:r>
      <w:r w:rsidR="000D24FB" w:rsidRPr="00603520">
        <w:rPr>
          <w:rFonts w:ascii="Times New Roman" w:hAnsi="Times New Roman"/>
          <w:szCs w:val="24"/>
        </w:rPr>
        <w:t xml:space="preserve">, </w:t>
      </w:r>
      <w:r w:rsidR="000D24FB" w:rsidRPr="00603520">
        <w:rPr>
          <w:rFonts w:ascii="Times New Roman" w:hAnsi="Times New Roman"/>
          <w:i/>
          <w:szCs w:val="24"/>
        </w:rPr>
        <w:t>Sirt3</w:t>
      </w:r>
      <w:r w:rsidR="000D24FB" w:rsidRPr="00603520">
        <w:rPr>
          <w:rFonts w:ascii="Times New Roman" w:hAnsi="Times New Roman"/>
          <w:i/>
          <w:szCs w:val="24"/>
          <w:vertAlign w:val="superscript"/>
        </w:rPr>
        <w:t>-/-</w:t>
      </w:r>
      <w:r w:rsidR="000D24FB" w:rsidRPr="00603520">
        <w:rPr>
          <w:rFonts w:ascii="Times New Roman" w:hAnsi="Times New Roman"/>
          <w:szCs w:val="24"/>
        </w:rPr>
        <w:t xml:space="preserve"> osteoclast precursor cells reduced AMP-activated protein kinase (AMPK) phosphorylation </w:t>
      </w:r>
      <w:r w:rsidR="000D24FB" w:rsidRPr="00603520">
        <w:rPr>
          <w:rFonts w:ascii="Times New Roman" w:hAnsi="Times New Roman" w:hint="eastAsia"/>
          <w:szCs w:val="24"/>
        </w:rPr>
        <w:t>through</w:t>
      </w:r>
      <w:r w:rsidR="000D24FB" w:rsidRPr="00603520">
        <w:rPr>
          <w:rFonts w:ascii="Times New Roman" w:hAnsi="Times New Roman"/>
          <w:szCs w:val="24"/>
        </w:rPr>
        <w:t xml:space="preserve"> down-regulating the expression of AMPK that plays a key role in regulating cellular energy metabolism during RANKL-induced osteoclast</w:t>
      </w:r>
      <w:r w:rsidR="00603520" w:rsidRPr="00603520">
        <w:rPr>
          <w:rFonts w:ascii="Times New Roman" w:hAnsi="Times New Roman"/>
          <w:szCs w:val="24"/>
        </w:rPr>
        <w:t xml:space="preserve"> differentiation</w:t>
      </w:r>
      <w:r w:rsidR="000D24FB" w:rsidRPr="00603520">
        <w:rPr>
          <w:rFonts w:ascii="Times New Roman" w:hAnsi="Times New Roman"/>
          <w:szCs w:val="24"/>
        </w:rPr>
        <w:t xml:space="preserve">. </w:t>
      </w:r>
      <w:r w:rsidR="000D24FB" w:rsidRPr="00603520">
        <w:rPr>
          <w:rFonts w:ascii="Times New Roman" w:hAnsi="Times New Roman" w:hint="eastAsia"/>
          <w:szCs w:val="24"/>
        </w:rPr>
        <w:t>T</w:t>
      </w:r>
      <w:r w:rsidR="000D24FB" w:rsidRPr="00603520">
        <w:rPr>
          <w:rFonts w:ascii="Times New Roman" w:hAnsi="Times New Roman"/>
          <w:szCs w:val="24"/>
        </w:rPr>
        <w:t xml:space="preserve">hese </w:t>
      </w:r>
      <w:r w:rsidR="000D24FB" w:rsidRPr="00603520">
        <w:rPr>
          <w:rFonts w:ascii="Times New Roman" w:hAnsi="Times New Roman" w:hint="eastAsia"/>
          <w:szCs w:val="24"/>
        </w:rPr>
        <w:t>data</w:t>
      </w:r>
      <w:r w:rsidR="000D24FB" w:rsidRPr="00603520">
        <w:rPr>
          <w:rFonts w:ascii="Times New Roman" w:hAnsi="Times New Roman"/>
          <w:szCs w:val="24"/>
        </w:rPr>
        <w:t xml:space="preserve"> demonstrate that </w:t>
      </w:r>
      <w:r w:rsidR="00B74A7C" w:rsidRPr="00603520">
        <w:rPr>
          <w:rFonts w:ascii="Times New Roman" w:hAnsi="Times New Roman"/>
          <w:szCs w:val="24"/>
        </w:rPr>
        <w:t>a mitochondrial SIRT3 is an intrinsic inhibitor for RANKL-mediated osteoclastogenesis.</w:t>
      </w:r>
    </w:p>
    <w:sectPr w:rsidR="00B41138" w:rsidRPr="00960B3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693" w:rsidRDefault="00CC5693" w:rsidP="004F65D2">
      <w:pPr>
        <w:spacing w:after="0" w:line="240" w:lineRule="auto"/>
      </w:pPr>
      <w:r>
        <w:separator/>
      </w:r>
    </w:p>
  </w:endnote>
  <w:endnote w:type="continuationSeparator" w:id="0">
    <w:p w:rsidR="00CC5693" w:rsidRDefault="00CC5693" w:rsidP="004F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693" w:rsidRDefault="00CC5693" w:rsidP="004F65D2">
      <w:pPr>
        <w:spacing w:after="0" w:line="240" w:lineRule="auto"/>
      </w:pPr>
      <w:r>
        <w:separator/>
      </w:r>
    </w:p>
  </w:footnote>
  <w:footnote w:type="continuationSeparator" w:id="0">
    <w:p w:rsidR="00CC5693" w:rsidRDefault="00CC5693" w:rsidP="004F6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26"/>
    <w:rsid w:val="00096381"/>
    <w:rsid w:val="000D24FB"/>
    <w:rsid w:val="00160389"/>
    <w:rsid w:val="00160AB1"/>
    <w:rsid w:val="001F646B"/>
    <w:rsid w:val="003B5DF4"/>
    <w:rsid w:val="003D4616"/>
    <w:rsid w:val="00462DCA"/>
    <w:rsid w:val="004F65D2"/>
    <w:rsid w:val="00603520"/>
    <w:rsid w:val="006D3A61"/>
    <w:rsid w:val="008B45E3"/>
    <w:rsid w:val="008F5D3F"/>
    <w:rsid w:val="009431F2"/>
    <w:rsid w:val="00953654"/>
    <w:rsid w:val="00960B32"/>
    <w:rsid w:val="00B41138"/>
    <w:rsid w:val="00B74A7C"/>
    <w:rsid w:val="00BC2886"/>
    <w:rsid w:val="00C94A31"/>
    <w:rsid w:val="00CC5693"/>
    <w:rsid w:val="00D329C3"/>
    <w:rsid w:val="00D91658"/>
    <w:rsid w:val="00F017D1"/>
    <w:rsid w:val="00F6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F8F943-EBC7-4C1A-8599-FE5C5FCD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rsid w:val="00160389"/>
    <w:pPr>
      <w:widowControl/>
      <w:wordWrap/>
      <w:autoSpaceDE/>
      <w:autoSpaceDN/>
      <w:spacing w:after="200" w:line="276" w:lineRule="auto"/>
      <w:jc w:val="center"/>
    </w:pPr>
    <w:rPr>
      <w:rFonts w:ascii="Times New Roman" w:eastAsia="맑은 고딕" w:hAnsi="맑은 고딕" w:cs="Times New Roman"/>
      <w:b/>
      <w:bCs/>
      <w:kern w:val="0"/>
      <w:sz w:val="24"/>
      <w:szCs w:val="20"/>
    </w:rPr>
  </w:style>
  <w:style w:type="character" w:customStyle="1" w:styleId="2Char">
    <w:name w:val="본문 2 Char"/>
    <w:basedOn w:val="a0"/>
    <w:link w:val="2"/>
    <w:rsid w:val="00160389"/>
    <w:rPr>
      <w:rFonts w:ascii="Times New Roman" w:eastAsia="맑은 고딕" w:hAnsi="맑은 고딕" w:cs="Times New Roman"/>
      <w:b/>
      <w:bCs/>
      <w:kern w:val="0"/>
      <w:sz w:val="24"/>
      <w:szCs w:val="20"/>
    </w:rPr>
  </w:style>
  <w:style w:type="paragraph" w:styleId="a3">
    <w:name w:val="Normal (Web)"/>
    <w:basedOn w:val="a"/>
    <w:link w:val="Char"/>
    <w:rsid w:val="00160389"/>
    <w:pPr>
      <w:widowControl/>
      <w:wordWrap/>
      <w:autoSpaceDE/>
      <w:autoSpaceDN/>
      <w:spacing w:before="100" w:beforeAutospacing="1" w:after="100" w:afterAutospacing="1" w:line="276" w:lineRule="auto"/>
      <w:jc w:val="left"/>
    </w:pPr>
    <w:rPr>
      <w:rFonts w:ascii="맑은 고딕" w:eastAsia="맑은 고딕" w:hAnsi="바탕" w:cs="Times New Roman"/>
      <w:kern w:val="0"/>
      <w:sz w:val="24"/>
      <w:szCs w:val="20"/>
    </w:rPr>
  </w:style>
  <w:style w:type="character" w:customStyle="1" w:styleId="Char">
    <w:name w:val="일반 (웹) Char"/>
    <w:link w:val="a3"/>
    <w:rsid w:val="00160389"/>
    <w:rPr>
      <w:rFonts w:ascii="맑은 고딕" w:eastAsia="맑은 고딕" w:hAnsi="바탕" w:cs="Times New Roman"/>
      <w:kern w:val="0"/>
      <w:sz w:val="24"/>
      <w:szCs w:val="20"/>
    </w:rPr>
  </w:style>
  <w:style w:type="paragraph" w:styleId="a4">
    <w:name w:val="header"/>
    <w:basedOn w:val="a"/>
    <w:link w:val="Char0"/>
    <w:uiPriority w:val="99"/>
    <w:unhideWhenUsed/>
    <w:rsid w:val="00160389"/>
    <w:pPr>
      <w:tabs>
        <w:tab w:val="center" w:pos="4513"/>
        <w:tab w:val="right" w:pos="9026"/>
      </w:tabs>
      <w:snapToGrid w:val="0"/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160389"/>
  </w:style>
  <w:style w:type="paragraph" w:styleId="a5">
    <w:name w:val="footer"/>
    <w:basedOn w:val="a"/>
    <w:link w:val="Char1"/>
    <w:uiPriority w:val="99"/>
    <w:unhideWhenUsed/>
    <w:rsid w:val="004F65D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4F6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7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2016-09-05T04:52:00Z</dcterms:created>
  <dcterms:modified xsi:type="dcterms:W3CDTF">2016-09-05T08:11:00Z</dcterms:modified>
</cp:coreProperties>
</file>