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130" w:rsidRDefault="00646315" w:rsidP="00646315">
      <w:pPr>
        <w:jc w:val="both"/>
        <w:rPr>
          <w:rFonts w:ascii="Times New Roman" w:hAnsi="Times New Roman" w:cs="Times New Roman"/>
          <w:b/>
          <w:sz w:val="24"/>
          <w:szCs w:val="24"/>
        </w:rPr>
      </w:pPr>
      <w:r w:rsidRPr="00646315">
        <w:rPr>
          <w:rFonts w:ascii="Times New Roman" w:hAnsi="Times New Roman" w:cs="Times New Roman"/>
          <w:b/>
          <w:sz w:val="24"/>
          <w:szCs w:val="24"/>
        </w:rPr>
        <w:t xml:space="preserve">Correlations between complement C3 and long term outcome of patients diagnosed with  </w:t>
      </w:r>
      <w:r>
        <w:rPr>
          <w:rFonts w:ascii="Times New Roman" w:hAnsi="Times New Roman" w:cs="Times New Roman"/>
          <w:b/>
          <w:sz w:val="24"/>
          <w:szCs w:val="24"/>
        </w:rPr>
        <w:t xml:space="preserve">    </w:t>
      </w:r>
      <w:r w:rsidRPr="00646315">
        <w:rPr>
          <w:rFonts w:ascii="Times New Roman" w:hAnsi="Times New Roman" w:cs="Times New Roman"/>
          <w:b/>
          <w:sz w:val="24"/>
          <w:szCs w:val="24"/>
        </w:rPr>
        <w:t>renovascular hypertension, complicated with left ventricle systolic dysfunction</w:t>
      </w:r>
    </w:p>
    <w:p w:rsidR="00646315" w:rsidRDefault="00646315" w:rsidP="00646315">
      <w:pPr>
        <w:jc w:val="both"/>
        <w:rPr>
          <w:rFonts w:ascii="Times New Roman" w:hAnsi="Times New Roman" w:cs="Times New Roman"/>
          <w:b/>
          <w:sz w:val="24"/>
          <w:szCs w:val="24"/>
        </w:rPr>
      </w:pPr>
    </w:p>
    <w:p w:rsidR="00B35288" w:rsidRPr="00646315" w:rsidRDefault="00646315" w:rsidP="00646315">
      <w:pPr>
        <w:jc w:val="both"/>
        <w:rPr>
          <w:rFonts w:ascii="Times New Roman" w:hAnsi="Times New Roman" w:cs="Times New Roman"/>
          <w:sz w:val="24"/>
          <w:szCs w:val="24"/>
        </w:rPr>
      </w:pPr>
      <w:r>
        <w:rPr>
          <w:rFonts w:ascii="Times New Roman" w:hAnsi="Times New Roman" w:cs="Times New Roman"/>
          <w:sz w:val="24"/>
          <w:szCs w:val="24"/>
        </w:rPr>
        <w:t>The study monithorized 42 patients with renovascular hypertension, due to renal artery stenosis, followed for 24 months. The patients were divided in 2 groups: group A, with systolic dysfunction and group B, without systolic dysfunction. Clinic</w:t>
      </w:r>
      <w:r w:rsidR="00B35288">
        <w:rPr>
          <w:rFonts w:ascii="Times New Roman" w:hAnsi="Times New Roman" w:cs="Times New Roman"/>
          <w:sz w:val="24"/>
          <w:szCs w:val="24"/>
        </w:rPr>
        <w:t xml:space="preserve">al aproach and </w:t>
      </w:r>
      <w:r w:rsidR="003703D3">
        <w:rPr>
          <w:rFonts w:ascii="Times New Roman" w:hAnsi="Times New Roman" w:cs="Times New Roman"/>
          <w:sz w:val="24"/>
          <w:szCs w:val="24"/>
        </w:rPr>
        <w:t xml:space="preserve"> laboratory parameters(</w:t>
      </w:r>
      <w:r>
        <w:rPr>
          <w:rFonts w:ascii="Times New Roman" w:hAnsi="Times New Roman" w:cs="Times New Roman"/>
          <w:sz w:val="24"/>
          <w:szCs w:val="24"/>
        </w:rPr>
        <w:t xml:space="preserve">serum creatinine, creatinine clearance, transaminasis, </w:t>
      </w:r>
      <w:r w:rsidR="00B35288">
        <w:rPr>
          <w:rFonts w:ascii="Times New Roman" w:hAnsi="Times New Roman" w:cs="Times New Roman"/>
          <w:sz w:val="24"/>
          <w:szCs w:val="24"/>
        </w:rPr>
        <w:t xml:space="preserve">serum </w:t>
      </w:r>
      <w:r>
        <w:rPr>
          <w:rFonts w:ascii="Times New Roman" w:hAnsi="Times New Roman" w:cs="Times New Roman"/>
          <w:sz w:val="24"/>
          <w:szCs w:val="24"/>
        </w:rPr>
        <w:t>electrolytes</w:t>
      </w:r>
      <w:r w:rsidR="00B35288">
        <w:rPr>
          <w:rFonts w:ascii="Times New Roman" w:hAnsi="Times New Roman" w:cs="Times New Roman"/>
          <w:sz w:val="24"/>
          <w:szCs w:val="24"/>
        </w:rPr>
        <w:t>,</w:t>
      </w:r>
      <w:r w:rsidR="003703D3">
        <w:rPr>
          <w:rFonts w:ascii="Times New Roman" w:hAnsi="Times New Roman" w:cs="Times New Roman"/>
          <w:sz w:val="24"/>
          <w:szCs w:val="24"/>
        </w:rPr>
        <w:t xml:space="preserve">glycemia, lipid profile, </w:t>
      </w:r>
      <w:r w:rsidR="00B35288">
        <w:rPr>
          <w:rFonts w:ascii="Times New Roman" w:hAnsi="Times New Roman" w:cs="Times New Roman"/>
          <w:sz w:val="24"/>
          <w:szCs w:val="24"/>
        </w:rPr>
        <w:t xml:space="preserve">complete blood count ,brain natriuretic peptide-BNP, high sensitivity C reactive protein, microalbuminuria, complement C3, electrocardiogram , transthoracic echocardiogram, renal artery sonogram) were performed every 6 months. The statistical analysis revealed  a strong correlation between low levels of complement C3 and severe systolic dysfunction: r = 0.826 and p = 0.02. Previous studies noticed the implication of complement C3 </w:t>
      </w:r>
      <w:r w:rsidR="003703D3">
        <w:rPr>
          <w:rFonts w:ascii="Times New Roman" w:hAnsi="Times New Roman" w:cs="Times New Roman"/>
          <w:sz w:val="24"/>
          <w:szCs w:val="24"/>
        </w:rPr>
        <w:t>in renal ischemia, especiallly in animal models, but it seems that  this  C3 fraction is also connected with the sesverity of systolic dysfunction, in chronic renal ischemia.. This observation will open new perspectives for establishing a long term prognosis of renovascular hypertension</w:t>
      </w:r>
      <w:r w:rsidR="00CA4762">
        <w:rPr>
          <w:rFonts w:ascii="Times New Roman" w:hAnsi="Times New Roman" w:cs="Times New Roman"/>
          <w:sz w:val="24"/>
          <w:szCs w:val="24"/>
        </w:rPr>
        <w:t>,</w:t>
      </w:r>
      <w:r w:rsidR="003703D3">
        <w:rPr>
          <w:rFonts w:ascii="Times New Roman" w:hAnsi="Times New Roman" w:cs="Times New Roman"/>
          <w:sz w:val="24"/>
          <w:szCs w:val="24"/>
        </w:rPr>
        <w:t xml:space="preserve"> complicated by systolic heart failure; also, it will offer us a better understanding of this disease , for improving therapeutic strategy.</w:t>
      </w:r>
    </w:p>
    <w:sectPr w:rsidR="00B35288" w:rsidRPr="00646315" w:rsidSect="00EB513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hyphenationZone w:val="425"/>
  <w:characterSpacingControl w:val="doNotCompress"/>
  <w:compat/>
  <w:rsids>
    <w:rsidRoot w:val="00646315"/>
    <w:rsid w:val="00326BB7"/>
    <w:rsid w:val="003703D3"/>
    <w:rsid w:val="004766C9"/>
    <w:rsid w:val="00646315"/>
    <w:rsid w:val="00B35288"/>
    <w:rsid w:val="00CA4762"/>
    <w:rsid w:val="00EB513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1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207</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Paloma Manea</dc:creator>
  <cp:lastModifiedBy>Paloma Manea</cp:lastModifiedBy>
  <cp:revision>1</cp:revision>
  <dcterms:created xsi:type="dcterms:W3CDTF">2016-08-02T08:33:00Z</dcterms:created>
  <dcterms:modified xsi:type="dcterms:W3CDTF">2016-08-02T09:05:00Z</dcterms:modified>
</cp:coreProperties>
</file>