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560" w:rsidRDefault="008F5560" w:rsidP="008F5560">
      <w:pPr>
        <w:jc w:val="both"/>
        <w:rPr>
          <w:rFonts w:ascii="Times New Roman" w:hAnsi="Times New Roman" w:cs="Times New Roman"/>
          <w:b/>
          <w:sz w:val="24"/>
          <w:szCs w:val="24"/>
          <w:u w:val="single"/>
        </w:rPr>
      </w:pPr>
      <w:r w:rsidRPr="00F274C3">
        <w:rPr>
          <w:rFonts w:ascii="Times New Roman" w:hAnsi="Times New Roman" w:cs="Times New Roman"/>
          <w:b/>
          <w:sz w:val="24"/>
          <w:szCs w:val="24"/>
          <w:u w:val="single"/>
        </w:rPr>
        <w:t>Title:</w:t>
      </w:r>
    </w:p>
    <w:p w:rsidR="008F5560" w:rsidRDefault="008F5560" w:rsidP="008F5560">
      <w:pPr>
        <w:jc w:val="both"/>
        <w:rPr>
          <w:rFonts w:ascii="Times New Roman" w:hAnsi="Times New Roman" w:cs="Times New Roman"/>
          <w:sz w:val="24"/>
          <w:szCs w:val="24"/>
        </w:rPr>
      </w:pPr>
      <w:r>
        <w:rPr>
          <w:rFonts w:ascii="Times New Roman" w:hAnsi="Times New Roman" w:cs="Times New Roman"/>
          <w:sz w:val="24"/>
          <w:szCs w:val="24"/>
        </w:rPr>
        <w:t>Assessment of PNR-100 as prognostic marker for</w:t>
      </w:r>
      <w:r w:rsidRPr="00F274C3">
        <w:rPr>
          <w:rFonts w:ascii="Times New Roman" w:hAnsi="Times New Roman" w:cs="Times New Roman"/>
          <w:sz w:val="24"/>
          <w:szCs w:val="24"/>
        </w:rPr>
        <w:t xml:space="preserve"> Autologous Hematopoietic Stem Cell Transplant in Hodgkin’s Lymphoma.</w:t>
      </w:r>
    </w:p>
    <w:p w:rsidR="008F5560" w:rsidRDefault="008F5560" w:rsidP="008F5560">
      <w:pPr>
        <w:jc w:val="both"/>
        <w:rPr>
          <w:rFonts w:ascii="Times New Roman" w:hAnsi="Times New Roman" w:cs="Times New Roman"/>
          <w:b/>
          <w:sz w:val="24"/>
          <w:szCs w:val="24"/>
          <w:u w:val="single"/>
        </w:rPr>
      </w:pPr>
      <w:r w:rsidRPr="00D868B9">
        <w:rPr>
          <w:rFonts w:ascii="Times New Roman" w:hAnsi="Times New Roman" w:cs="Times New Roman"/>
          <w:b/>
          <w:sz w:val="24"/>
          <w:szCs w:val="24"/>
          <w:u w:val="single"/>
        </w:rPr>
        <w:t>Authors:</w:t>
      </w:r>
    </w:p>
    <w:p w:rsidR="008F5560" w:rsidRPr="00E426B7" w:rsidRDefault="008F5560" w:rsidP="008F5560">
      <w:pPr>
        <w:jc w:val="both"/>
        <w:rPr>
          <w:rFonts w:ascii="Times New Roman" w:hAnsi="Times New Roman" w:cs="Times New Roman"/>
          <w:sz w:val="24"/>
          <w:szCs w:val="24"/>
        </w:rPr>
      </w:pPr>
      <w:r w:rsidRPr="00E426B7">
        <w:rPr>
          <w:rFonts w:ascii="Times New Roman" w:hAnsi="Times New Roman" w:cs="Times New Roman"/>
          <w:sz w:val="24"/>
          <w:szCs w:val="24"/>
        </w:rPr>
        <w:t>Shamshad GU</w:t>
      </w:r>
      <w:r>
        <w:rPr>
          <w:rFonts w:ascii="Times New Roman" w:hAnsi="Times New Roman" w:cs="Times New Roman"/>
          <w:sz w:val="24"/>
          <w:szCs w:val="24"/>
          <w:vertAlign w:val="superscript"/>
        </w:rPr>
        <w:t>1*</w:t>
      </w:r>
      <w:r>
        <w:rPr>
          <w:rFonts w:ascii="Times New Roman" w:hAnsi="Times New Roman" w:cs="Times New Roman"/>
          <w:sz w:val="24"/>
          <w:szCs w:val="24"/>
        </w:rPr>
        <w:t>, Malik MA</w:t>
      </w:r>
      <w:r>
        <w:rPr>
          <w:rFonts w:ascii="Times New Roman" w:hAnsi="Times New Roman" w:cs="Times New Roman"/>
          <w:sz w:val="24"/>
          <w:szCs w:val="24"/>
          <w:vertAlign w:val="superscript"/>
        </w:rPr>
        <w:t>1</w:t>
      </w:r>
      <w:r>
        <w:rPr>
          <w:rFonts w:ascii="Times New Roman" w:hAnsi="Times New Roman" w:cs="Times New Roman"/>
          <w:sz w:val="24"/>
          <w:szCs w:val="24"/>
        </w:rPr>
        <w:t>,</w:t>
      </w:r>
      <w:r w:rsidRPr="00E426B7">
        <w:rPr>
          <w:rFonts w:ascii="Times New Roman" w:hAnsi="Times New Roman" w:cs="Times New Roman"/>
          <w:sz w:val="24"/>
          <w:szCs w:val="24"/>
        </w:rPr>
        <w:t>Satti TM</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E426B7">
        <w:rPr>
          <w:rFonts w:ascii="Times New Roman" w:hAnsi="Times New Roman" w:cs="Times New Roman"/>
          <w:sz w:val="24"/>
          <w:szCs w:val="24"/>
        </w:rPr>
        <w:t>Chaudhry QN</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E426B7">
        <w:rPr>
          <w:rFonts w:ascii="Times New Roman" w:hAnsi="Times New Roman" w:cs="Times New Roman"/>
          <w:sz w:val="24"/>
          <w:szCs w:val="24"/>
        </w:rPr>
        <w:t>Mahmood SK</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E426B7">
        <w:rPr>
          <w:rFonts w:ascii="Times New Roman" w:hAnsi="Times New Roman" w:cs="Times New Roman"/>
          <w:sz w:val="24"/>
          <w:szCs w:val="24"/>
        </w:rPr>
        <w:t>Ghafoor T</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w:t>
      </w:r>
      <w:r w:rsidRPr="00E426B7">
        <w:rPr>
          <w:rFonts w:ascii="Times New Roman" w:hAnsi="Times New Roman" w:cs="Times New Roman"/>
          <w:sz w:val="24"/>
          <w:szCs w:val="24"/>
        </w:rPr>
        <w:t>Iftikhar R</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rsidR="008F5560" w:rsidRDefault="008F5560" w:rsidP="008F5560">
      <w:pPr>
        <w:jc w:val="both"/>
        <w:rPr>
          <w:rFonts w:ascii="Times New Roman" w:hAnsi="Times New Roman" w:cs="Times New Roman"/>
          <w:b/>
          <w:sz w:val="24"/>
          <w:szCs w:val="24"/>
          <w:u w:val="single"/>
        </w:rPr>
      </w:pPr>
      <w:r>
        <w:rPr>
          <w:rFonts w:ascii="Times New Roman" w:hAnsi="Times New Roman" w:cs="Times New Roman"/>
          <w:b/>
          <w:sz w:val="24"/>
          <w:szCs w:val="24"/>
          <w:u w:val="single"/>
        </w:rPr>
        <w:t>Author Affiliations:</w:t>
      </w:r>
    </w:p>
    <w:p w:rsidR="008F5560" w:rsidRDefault="008F5560" w:rsidP="008F5560">
      <w:pPr>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Armed Forces Bone Marrow Transplant Center, Rawalpindi, Pakistan. </w:t>
      </w:r>
    </w:p>
    <w:p w:rsidR="008F5560" w:rsidRPr="00E426B7" w:rsidRDefault="008F5560" w:rsidP="008F5560">
      <w:pPr>
        <w:jc w:val="both"/>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Corresponding author and presenter. </w:t>
      </w:r>
    </w:p>
    <w:p w:rsidR="008F5560" w:rsidRDefault="008F5560" w:rsidP="008F5560">
      <w:pPr>
        <w:jc w:val="both"/>
        <w:rPr>
          <w:rFonts w:ascii="Times New Roman" w:hAnsi="Times New Roman" w:cs="Times New Roman"/>
          <w:b/>
          <w:sz w:val="24"/>
          <w:szCs w:val="24"/>
          <w:u w:val="single"/>
        </w:rPr>
      </w:pPr>
      <w:r w:rsidRPr="00F274C3">
        <w:rPr>
          <w:rFonts w:ascii="Times New Roman" w:hAnsi="Times New Roman" w:cs="Times New Roman"/>
          <w:b/>
          <w:sz w:val="24"/>
          <w:szCs w:val="24"/>
          <w:u w:val="single"/>
        </w:rPr>
        <w:t>Abstract:</w:t>
      </w:r>
    </w:p>
    <w:p w:rsidR="008F5560" w:rsidRDefault="008F5560" w:rsidP="008F5560">
      <w:pPr>
        <w:jc w:val="both"/>
        <w:rPr>
          <w:rFonts w:ascii="Times New Roman" w:hAnsi="Times New Roman" w:cs="Times New Roman"/>
          <w:sz w:val="24"/>
          <w:szCs w:val="24"/>
        </w:rPr>
      </w:pPr>
      <w:r w:rsidRPr="00F274C3">
        <w:rPr>
          <w:rFonts w:ascii="Times New Roman" w:hAnsi="Times New Roman" w:cs="Times New Roman"/>
          <w:sz w:val="24"/>
          <w:szCs w:val="24"/>
        </w:rPr>
        <w:t>Platelet to neutr</w:t>
      </w:r>
      <w:r>
        <w:rPr>
          <w:rFonts w:ascii="Times New Roman" w:hAnsi="Times New Roman" w:cs="Times New Roman"/>
          <w:sz w:val="24"/>
          <w:szCs w:val="24"/>
        </w:rPr>
        <w:t>ophil ratio is becoming a popular</w:t>
      </w:r>
      <w:r w:rsidRPr="00F274C3">
        <w:rPr>
          <w:rFonts w:ascii="Times New Roman" w:hAnsi="Times New Roman" w:cs="Times New Roman"/>
          <w:sz w:val="24"/>
          <w:szCs w:val="24"/>
        </w:rPr>
        <w:t xml:space="preserve"> inflammatory marker in prognosis of many cancers and metabolic disorders. Platelet and neutrophil engraftment also play a vital role in determining the success of primary graft in hematopoietic stem cell transplant</w:t>
      </w:r>
      <w:r>
        <w:rPr>
          <w:rFonts w:ascii="Times New Roman" w:hAnsi="Times New Roman" w:cs="Times New Roman"/>
          <w:sz w:val="24"/>
          <w:szCs w:val="24"/>
        </w:rPr>
        <w:t>ation</w:t>
      </w:r>
      <w:r w:rsidRPr="00F274C3">
        <w:rPr>
          <w:rFonts w:ascii="Times New Roman" w:hAnsi="Times New Roman" w:cs="Times New Roman"/>
          <w:sz w:val="24"/>
          <w:szCs w:val="24"/>
        </w:rPr>
        <w:t xml:space="preserve"> (HSCT). </w:t>
      </w:r>
      <w:r>
        <w:rPr>
          <w:rFonts w:ascii="Times New Roman" w:hAnsi="Times New Roman" w:cs="Times New Roman"/>
          <w:sz w:val="24"/>
          <w:szCs w:val="24"/>
        </w:rPr>
        <w:t xml:space="preserve">As donor chimerism is not applicable in determining the prognosis post-autologous HSCT; a clinical marker to predict the outcome is a need of time. </w:t>
      </w:r>
      <w:r w:rsidRPr="00F274C3">
        <w:rPr>
          <w:rFonts w:ascii="Times New Roman" w:hAnsi="Times New Roman" w:cs="Times New Roman"/>
          <w:sz w:val="24"/>
          <w:szCs w:val="24"/>
        </w:rPr>
        <w:t>Here, we assess</w:t>
      </w:r>
      <w:r>
        <w:rPr>
          <w:rFonts w:ascii="Times New Roman" w:hAnsi="Times New Roman" w:cs="Times New Roman"/>
          <w:sz w:val="24"/>
          <w:szCs w:val="24"/>
        </w:rPr>
        <w:t>ed</w:t>
      </w:r>
      <w:r w:rsidRPr="00F274C3">
        <w:rPr>
          <w:rFonts w:ascii="Times New Roman" w:hAnsi="Times New Roman" w:cs="Times New Roman"/>
          <w:sz w:val="24"/>
          <w:szCs w:val="24"/>
        </w:rPr>
        <w:t xml:space="preserve"> the utility of PNR</w:t>
      </w:r>
      <w:r>
        <w:rPr>
          <w:rFonts w:ascii="Times New Roman" w:hAnsi="Times New Roman" w:cs="Times New Roman"/>
          <w:sz w:val="24"/>
          <w:szCs w:val="24"/>
        </w:rPr>
        <w:t xml:space="preserve"> at day 100 (PNR-100)</w:t>
      </w:r>
      <w:r w:rsidRPr="00F274C3">
        <w:rPr>
          <w:rFonts w:ascii="Times New Roman" w:hAnsi="Times New Roman" w:cs="Times New Roman"/>
          <w:sz w:val="24"/>
          <w:szCs w:val="24"/>
        </w:rPr>
        <w:t xml:space="preserve"> as prognostic marker of HSCT outcome in Hodgkin’s Lymphoma </w:t>
      </w:r>
      <w:r>
        <w:rPr>
          <w:rFonts w:ascii="Times New Roman" w:hAnsi="Times New Roman" w:cs="Times New Roman"/>
          <w:sz w:val="24"/>
          <w:szCs w:val="24"/>
        </w:rPr>
        <w:t xml:space="preserve">(HL). Cut-off value was determined using </w:t>
      </w:r>
      <w:r w:rsidRPr="00840A1F">
        <w:rPr>
          <w:rFonts w:ascii="Times New Roman" w:hAnsi="Times New Roman" w:cs="Times New Roman"/>
          <w:sz w:val="24"/>
          <w:szCs w:val="24"/>
        </w:rPr>
        <w:t>receiver opera</w:t>
      </w:r>
      <w:r>
        <w:rPr>
          <w:rFonts w:ascii="Times New Roman" w:hAnsi="Times New Roman" w:cs="Times New Roman"/>
          <w:sz w:val="24"/>
          <w:szCs w:val="24"/>
        </w:rPr>
        <w:t xml:space="preserve">ting characteristic (ROC) curves. Overall survival (OS) and Disease Free Survival (DFS) </w:t>
      </w:r>
      <w:r w:rsidRPr="00987DAC">
        <w:rPr>
          <w:rFonts w:ascii="Times New Roman" w:hAnsi="Times New Roman" w:cs="Times New Roman"/>
          <w:sz w:val="24"/>
          <w:szCs w:val="24"/>
        </w:rPr>
        <w:t>were</w:t>
      </w:r>
      <w:r>
        <w:rPr>
          <w:rFonts w:ascii="Times New Roman" w:hAnsi="Times New Roman" w:cs="Times New Roman"/>
          <w:sz w:val="24"/>
          <w:szCs w:val="24"/>
        </w:rPr>
        <w:t xml:space="preserve"> analyzed using </w:t>
      </w:r>
      <w:r w:rsidRPr="007B593A">
        <w:rPr>
          <w:rFonts w:ascii="Times New Roman" w:hAnsi="Times New Roman" w:cs="Times New Roman"/>
          <w:sz w:val="24"/>
          <w:szCs w:val="24"/>
        </w:rPr>
        <w:t xml:space="preserve">two-tailed log rank test </w:t>
      </w:r>
      <w:r w:rsidRPr="00987DAC">
        <w:rPr>
          <w:rFonts w:ascii="Times New Roman" w:hAnsi="Times New Roman" w:cs="Times New Roman"/>
          <w:sz w:val="24"/>
          <w:szCs w:val="24"/>
        </w:rPr>
        <w:t>Kaplan and Meier.The Gehan-Breslow-Wilcoxon test was used for the univariate ana</w:t>
      </w:r>
      <w:r>
        <w:rPr>
          <w:rFonts w:ascii="Times New Roman" w:hAnsi="Times New Roman" w:cs="Times New Roman"/>
          <w:sz w:val="24"/>
          <w:szCs w:val="24"/>
        </w:rPr>
        <w:t>lyses to evaluate these variables</w:t>
      </w:r>
      <w:r w:rsidRPr="00F274C3">
        <w:rPr>
          <w:rFonts w:ascii="Times New Roman" w:hAnsi="Times New Roman" w:cs="Times New Roman"/>
          <w:sz w:val="24"/>
          <w:szCs w:val="24"/>
        </w:rPr>
        <w:t>.</w:t>
      </w:r>
      <w:r>
        <w:rPr>
          <w:rFonts w:ascii="Times New Roman" w:hAnsi="Times New Roman" w:cs="Times New Roman"/>
          <w:sz w:val="24"/>
          <w:szCs w:val="24"/>
        </w:rPr>
        <w:t xml:space="preserve">We also accessedabsolute neutrophil count at day 100 (ANC-100) and platelet count at day 100 (PC-100) as individual markers. Moreover, we compared PNR-100 with </w:t>
      </w:r>
      <w:r w:rsidRPr="005E7CB0">
        <w:rPr>
          <w:rFonts w:ascii="Times New Roman" w:hAnsi="Times New Roman" w:cs="Times New Roman"/>
          <w:sz w:val="24"/>
          <w:szCs w:val="24"/>
        </w:rPr>
        <w:t>gender, age, stage of the disease, initial and salvage chemotherapy, remission status, conditioning regime, mob</w:t>
      </w:r>
      <w:r>
        <w:rPr>
          <w:rFonts w:ascii="Times New Roman" w:hAnsi="Times New Roman" w:cs="Times New Roman"/>
          <w:sz w:val="24"/>
          <w:szCs w:val="24"/>
        </w:rPr>
        <w:t xml:space="preserve">ilizing regime and infused dosage using </w:t>
      </w:r>
      <w:r w:rsidRPr="00840A1F">
        <w:rPr>
          <w:rFonts w:ascii="Times New Roman" w:hAnsi="Times New Roman" w:cs="Times New Roman"/>
          <w:sz w:val="24"/>
          <w:szCs w:val="24"/>
        </w:rPr>
        <w:t>Pearson chi-squared or Fishers exact test</w:t>
      </w:r>
      <w:r>
        <w:rPr>
          <w:rFonts w:ascii="Times New Roman" w:hAnsi="Times New Roman" w:cs="Times New Roman"/>
          <w:sz w:val="24"/>
          <w:szCs w:val="24"/>
        </w:rPr>
        <w:t>. ANC-100 and PC-100 alone were not statistically significant between disease-free and relapse groups.. However, PNR-100 was found to be an independent prognostic marker and patients with PNR-100 ≥ 60 showed superior disease free survival. PNR-100≥60 was, however, not a predictor of overall survival.</w:t>
      </w:r>
      <w:r w:rsidRPr="00E426B7">
        <w:rPr>
          <w:rFonts w:ascii="Times New Roman" w:hAnsi="Times New Roman" w:cs="Times New Roman"/>
          <w:sz w:val="24"/>
          <w:szCs w:val="24"/>
        </w:rPr>
        <w:t>Therefore,</w:t>
      </w:r>
      <w:r>
        <w:rPr>
          <w:rFonts w:ascii="Times New Roman" w:hAnsi="Times New Roman" w:cs="Times New Roman"/>
          <w:sz w:val="24"/>
          <w:szCs w:val="24"/>
        </w:rPr>
        <w:t xml:space="preserve">PNR-100 ≥ 60 can be used as prognostic marker of disease relapse in HL post-autologous HSCT. </w:t>
      </w:r>
    </w:p>
    <w:p w:rsidR="008F5560" w:rsidRDefault="008F5560" w:rsidP="008F5560">
      <w:pPr>
        <w:jc w:val="both"/>
        <w:rPr>
          <w:rFonts w:ascii="Times New Roman" w:hAnsi="Times New Roman" w:cs="Times New Roman"/>
          <w:sz w:val="24"/>
          <w:szCs w:val="24"/>
        </w:rPr>
      </w:pPr>
      <w:r w:rsidRPr="00522A5F">
        <w:rPr>
          <w:rFonts w:ascii="Times New Roman" w:hAnsi="Times New Roman" w:cs="Times New Roman"/>
          <w:b/>
          <w:sz w:val="24"/>
          <w:szCs w:val="24"/>
        </w:rPr>
        <w:t>Keywords:</w:t>
      </w:r>
      <w:r w:rsidRPr="00E426B7">
        <w:rPr>
          <w:rFonts w:ascii="Times New Roman" w:hAnsi="Times New Roman" w:cs="Times New Roman"/>
          <w:sz w:val="24"/>
          <w:szCs w:val="24"/>
        </w:rPr>
        <w:t>Hodgkin’s Lymphoma</w:t>
      </w:r>
      <w:r>
        <w:rPr>
          <w:rFonts w:ascii="Times New Roman" w:hAnsi="Times New Roman" w:cs="Times New Roman"/>
          <w:sz w:val="24"/>
          <w:szCs w:val="24"/>
        </w:rPr>
        <w:t xml:space="preserve">, Autologous HSCT, Prognostic marker, PNR-100. </w:t>
      </w:r>
    </w:p>
    <w:p w:rsidR="008F5560" w:rsidRPr="00A13E76" w:rsidRDefault="008F5560" w:rsidP="008F5560">
      <w:pPr>
        <w:jc w:val="both"/>
        <w:rPr>
          <w:rFonts w:ascii="Times New Roman" w:hAnsi="Times New Roman" w:cs="Times New Roman"/>
          <w:b/>
          <w:sz w:val="24"/>
          <w:szCs w:val="24"/>
        </w:rPr>
      </w:pPr>
      <w:r w:rsidRPr="00A13E76">
        <w:rPr>
          <w:rFonts w:ascii="Times New Roman" w:hAnsi="Times New Roman" w:cs="Times New Roman"/>
          <w:b/>
          <w:sz w:val="24"/>
          <w:szCs w:val="24"/>
        </w:rPr>
        <w:t>Biography</w:t>
      </w:r>
    </w:p>
    <w:p w:rsidR="0018781F" w:rsidRPr="008F5560" w:rsidRDefault="008F5560" w:rsidP="008F5560">
      <w:pPr>
        <w:jc w:val="both"/>
        <w:rPr>
          <w:rFonts w:ascii="Times New Roman" w:hAnsi="Times New Roman" w:cs="Times New Roman"/>
          <w:sz w:val="24"/>
          <w:szCs w:val="24"/>
        </w:rPr>
      </w:pPr>
      <w:r>
        <w:rPr>
          <w:rFonts w:ascii="Times New Roman" w:hAnsi="Times New Roman" w:cs="Times New Roman"/>
          <w:sz w:val="24"/>
          <w:szCs w:val="24"/>
        </w:rPr>
        <w:t>Lt. Col. Dr, Ghassan Umair Shamshad is a classified fellow of hematology at Armed Forces Bone Marrow Transplant Center, Rawalpindi. He has previously worked at Armed Forces Institute of Pathology, Rawalpindi. His research interests include hematology molecular and pathological diagnostics and prognostics i</w:t>
      </w:r>
      <w:bookmarkStart w:id="0" w:name="_GoBack"/>
      <w:bookmarkEnd w:id="0"/>
      <w:r>
        <w:rPr>
          <w:rFonts w:ascii="Times New Roman" w:hAnsi="Times New Roman" w:cs="Times New Roman"/>
          <w:sz w:val="24"/>
          <w:szCs w:val="24"/>
        </w:rPr>
        <w:t xml:space="preserve">n infectious diseases and hematological disorders. He </w:t>
      </w:r>
      <w:r>
        <w:rPr>
          <w:rFonts w:ascii="Times New Roman" w:hAnsi="Times New Roman" w:cs="Times New Roman"/>
          <w:sz w:val="24"/>
          <w:szCs w:val="24"/>
        </w:rPr>
        <w:lastRenderedPageBreak/>
        <w:t xml:space="preserve">is serving as the in charge of Stem Cell Research Laboratory at Armed Forces Bone Marrow Transplant Center. His stay at King’s College, as a part of training program, also contributed in his keen interest in the field. </w:t>
      </w:r>
      <w:r w:rsidR="00F53DFA">
        <w:rPr>
          <w:rFonts w:ascii="Times New Roman" w:hAnsi="Times New Roman" w:cs="Times New Roman"/>
          <w:sz w:val="24"/>
          <w:szCs w:val="24"/>
        </w:rPr>
        <w:t xml:space="preserve">His current focus is on low cost diagnostics and prognostics, for developing countries. </w:t>
      </w:r>
    </w:p>
    <w:sectPr w:rsidR="0018781F" w:rsidRPr="008F5560" w:rsidSect="001878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8F5560"/>
    <w:rsid w:val="0018781F"/>
    <w:rsid w:val="0042202B"/>
    <w:rsid w:val="008F5560"/>
    <w:rsid w:val="00F53D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5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MALIHA MALICK</dc:creator>
  <cp:lastModifiedBy>MALIHA MALICK</cp:lastModifiedBy>
  <cp:revision>2</cp:revision>
  <dcterms:created xsi:type="dcterms:W3CDTF">2019-10-14T18:29:00Z</dcterms:created>
  <dcterms:modified xsi:type="dcterms:W3CDTF">2019-10-14T18:39:00Z</dcterms:modified>
</cp:coreProperties>
</file>