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18E2" w:rsidRDefault="00EB18E2" w:rsidP="00EB18E2">
      <w:pPr>
        <w:rPr>
          <w:rFonts w:ascii="Arial" w:hAnsi="Arial" w:cs="Arial"/>
          <w:color w:val="111111"/>
          <w:sz w:val="21"/>
          <w:szCs w:val="21"/>
          <w:shd w:val="clear" w:color="auto" w:fill="FFFFFF"/>
        </w:rPr>
      </w:pPr>
      <w:bookmarkStart w:id="0" w:name="_GoBack"/>
      <w:r>
        <w:rPr>
          <w:rFonts w:ascii="Arial" w:hAnsi="Arial" w:cs="Arial"/>
          <w:color w:val="111111"/>
          <w:sz w:val="21"/>
          <w:szCs w:val="21"/>
          <w:shd w:val="clear" w:color="auto" w:fill="FFFFFF"/>
        </w:rPr>
        <w:t xml:space="preserve">Adherence to treatment in </w:t>
      </w:r>
      <w:proofErr w:type="spellStart"/>
      <w:r>
        <w:rPr>
          <w:rFonts w:ascii="Arial" w:hAnsi="Arial" w:cs="Arial"/>
          <w:color w:val="111111"/>
          <w:sz w:val="21"/>
          <w:szCs w:val="21"/>
          <w:shd w:val="clear" w:color="auto" w:fill="FFFFFF"/>
        </w:rPr>
        <w:t>hemoglobinopathies</w:t>
      </w:r>
      <w:proofErr w:type="spellEnd"/>
      <w:proofErr w:type="gramStart"/>
      <w:r>
        <w:rPr>
          <w:rFonts w:ascii="Arial" w:hAnsi="Arial" w:cs="Arial"/>
          <w:color w:val="111111"/>
          <w:sz w:val="21"/>
          <w:szCs w:val="21"/>
          <w:shd w:val="clear" w:color="auto" w:fill="FFFFFF"/>
        </w:rPr>
        <w:t>,  an</w:t>
      </w:r>
      <w:proofErr w:type="gramEnd"/>
      <w:r>
        <w:rPr>
          <w:rFonts w:ascii="Arial" w:hAnsi="Arial" w:cs="Arial"/>
          <w:color w:val="111111"/>
          <w:sz w:val="21"/>
          <w:szCs w:val="21"/>
          <w:shd w:val="clear" w:color="auto" w:fill="FFFFFF"/>
        </w:rPr>
        <w:t xml:space="preserve"> approach to Patient Centered Care.</w:t>
      </w:r>
    </w:p>
    <w:p w:rsidR="00AA2EA1" w:rsidRDefault="00EB18E2" w:rsidP="00EB18E2">
      <w:r>
        <w:rPr>
          <w:rFonts w:ascii="Arial" w:hAnsi="Arial" w:cs="Arial"/>
          <w:color w:val="111111"/>
          <w:sz w:val="21"/>
          <w:szCs w:val="21"/>
          <w:shd w:val="clear" w:color="auto" w:fill="FFFFFF"/>
        </w:rPr>
        <w:t xml:space="preserve">Adherence to treatment is a great concern for patients who need long-life treatment. </w:t>
      </w:r>
      <w:r>
        <w:rPr>
          <w:rFonts w:ascii="Arial" w:hAnsi="Arial" w:cs="Arial"/>
          <w:color w:val="111111"/>
          <w:sz w:val="21"/>
          <w:szCs w:val="21"/>
          <w:shd w:val="clear" w:color="auto" w:fill="FFFFFF"/>
        </w:rPr>
        <w:t xml:space="preserve"> </w:t>
      </w:r>
      <w:proofErr w:type="spellStart"/>
      <w:r>
        <w:rPr>
          <w:rFonts w:ascii="Arial" w:hAnsi="Arial" w:cs="Arial"/>
          <w:color w:val="111111"/>
          <w:sz w:val="21"/>
          <w:szCs w:val="21"/>
          <w:shd w:val="clear" w:color="auto" w:fill="FFFFFF"/>
        </w:rPr>
        <w:t>Hemoglobinopathies</w:t>
      </w:r>
      <w:proofErr w:type="spellEnd"/>
      <w:r>
        <w:rPr>
          <w:rFonts w:ascii="Arial" w:hAnsi="Arial" w:cs="Arial"/>
          <w:color w:val="111111"/>
          <w:sz w:val="21"/>
          <w:szCs w:val="21"/>
          <w:shd w:val="clear" w:color="auto" w:fill="FFFFFF"/>
        </w:rPr>
        <w:t xml:space="preserve"> are complicated </w:t>
      </w:r>
      <w:r>
        <w:rPr>
          <w:rFonts w:ascii="Arial" w:hAnsi="Arial" w:cs="Arial"/>
          <w:color w:val="111111"/>
          <w:sz w:val="21"/>
          <w:szCs w:val="21"/>
          <w:shd w:val="clear" w:color="auto" w:fill="FFFFFF"/>
        </w:rPr>
        <w:t>disease</w:t>
      </w:r>
      <w:r>
        <w:rPr>
          <w:rFonts w:ascii="Arial" w:hAnsi="Arial" w:cs="Arial"/>
          <w:color w:val="111111"/>
          <w:sz w:val="21"/>
          <w:szCs w:val="21"/>
          <w:shd w:val="clear" w:color="auto" w:fill="FFFFFF"/>
        </w:rPr>
        <w:t>s</w:t>
      </w:r>
      <w:r>
        <w:rPr>
          <w:rFonts w:ascii="Arial" w:hAnsi="Arial" w:cs="Arial"/>
          <w:color w:val="111111"/>
          <w:sz w:val="21"/>
          <w:szCs w:val="21"/>
          <w:shd w:val="clear" w:color="auto" w:fill="FFFFFF"/>
        </w:rPr>
        <w:t xml:space="preserve"> for whose treatment team-working is of a considerable importance. To logically face the problem of poor compliance patients, all members of the team ought to be aware of the causing factors and the ways to handle the problem. The factors which cause the lack of compliance among patients could be stratified into economic and structural facto</w:t>
      </w:r>
      <w:r>
        <w:rPr>
          <w:rFonts w:ascii="Arial" w:hAnsi="Arial" w:cs="Arial"/>
          <w:color w:val="111111"/>
          <w:sz w:val="21"/>
          <w:szCs w:val="21"/>
          <w:shd w:val="clear" w:color="auto" w:fill="FFFFFF"/>
        </w:rPr>
        <w:t>rs</w:t>
      </w:r>
      <w:r>
        <w:rPr>
          <w:rFonts w:ascii="Arial" w:hAnsi="Arial" w:cs="Arial"/>
          <w:color w:val="111111"/>
          <w:sz w:val="21"/>
          <w:szCs w:val="21"/>
          <w:shd w:val="clear" w:color="auto" w:fill="FFFFFF"/>
        </w:rPr>
        <w:t>. Furthermore, patient-related factors including ethnicity, gender, age, and regimen complexity such as dosing are also noteworthy. The supportive relationship between the health providers and the patients should be also established such as patients’ trust in their doctors. Last but not least, the pattern of health care delivery including the availability of health care requisites and operation of flexible hours and floating working hours. From the patients’ point of view, it is important to be aware of the significance of the adherence to treatment and the importance of providing prompt-routine reminders to patients to understand the consequence of incomplete treatment. Trained and motivated staffs play an effective role to enhance patients’ tendency to pursue the determined treatment. Health decision makers would be better to reinterpret the concept of health to “a state of complete physical, mental and social well-being and not merely the absence of disease or infirmity”. The patients’ role in self-management should not be ignored and “medicalization” has to be altered by the patient centered care.</w:t>
      </w:r>
      <w:bookmarkEnd w:id="0"/>
    </w:p>
    <w:sectPr w:rsidR="00AA2E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8E2"/>
    <w:rsid w:val="00AA2EA1"/>
    <w:rsid w:val="00EB18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250</Words>
  <Characters>1428</Characters>
  <Application>Microsoft Office Word</Application>
  <DocSecurity>0</DocSecurity>
  <Lines>11</Lines>
  <Paragraphs>3</Paragraphs>
  <ScaleCrop>false</ScaleCrop>
  <Company/>
  <LinksUpToDate>false</LinksUpToDate>
  <CharactersWithSpaces>1675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Mahmoud Hadipour</dc:creator>
  <cp:lastModifiedBy>Mahmoud Hadipour</cp:lastModifiedBy>
  <cp:revision>1</cp:revision>
  <dcterms:created xsi:type="dcterms:W3CDTF">2019-09-17T05:22:00Z</dcterms:created>
  <dcterms:modified xsi:type="dcterms:W3CDTF">2019-09-17T05:34:00Z</dcterms:modified>
</cp:coreProperties>
</file>